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F20" w:rsidRDefault="00017F20" w:rsidP="00017F20">
      <w:pPr>
        <w:pStyle w:val="Default"/>
        <w:jc w:val="center"/>
        <w:rPr>
          <w:sz w:val="32"/>
          <w:szCs w:val="32"/>
        </w:rPr>
      </w:pPr>
      <w:bookmarkStart w:id="0" w:name="_GoBack"/>
      <w:bookmarkEnd w:id="0"/>
      <w:r>
        <w:rPr>
          <w:sz w:val="32"/>
          <w:szCs w:val="32"/>
        </w:rPr>
        <w:t>ZÁ</w:t>
      </w:r>
      <w:r>
        <w:rPr>
          <w:sz w:val="32"/>
          <w:szCs w:val="32"/>
          <w:lang w:val="es-ES_tradnl"/>
        </w:rPr>
        <w:t>PADO</w:t>
      </w:r>
      <w:r>
        <w:rPr>
          <w:sz w:val="32"/>
          <w:szCs w:val="32"/>
        </w:rPr>
        <w:t>Č</w:t>
      </w:r>
      <w:r>
        <w:rPr>
          <w:sz w:val="32"/>
          <w:szCs w:val="32"/>
          <w:lang w:val="pt-PT"/>
        </w:rPr>
        <w:t>ESK</w:t>
      </w:r>
      <w:r>
        <w:rPr>
          <w:sz w:val="32"/>
          <w:szCs w:val="32"/>
        </w:rPr>
        <w:t xml:space="preserve">Á </w:t>
      </w:r>
      <w:r>
        <w:rPr>
          <w:sz w:val="32"/>
          <w:szCs w:val="32"/>
          <w:lang w:val="de-DE"/>
        </w:rPr>
        <w:t>UNIVERZITA V PLZNI</w:t>
      </w: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28"/>
          <w:szCs w:val="28"/>
        </w:rPr>
      </w:pPr>
      <w:r>
        <w:rPr>
          <w:sz w:val="28"/>
          <w:szCs w:val="28"/>
        </w:rPr>
        <w:t>FAKULTA PRÁ</w:t>
      </w:r>
      <w:r>
        <w:rPr>
          <w:sz w:val="28"/>
          <w:szCs w:val="28"/>
          <w:lang w:val="nl-NL"/>
        </w:rPr>
        <w:t>VNICK</w:t>
      </w:r>
      <w:r>
        <w:rPr>
          <w:sz w:val="28"/>
          <w:szCs w:val="28"/>
        </w:rPr>
        <w:t>Á</w:t>
      </w: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32"/>
          <w:szCs w:val="32"/>
        </w:rPr>
      </w:pPr>
      <w:r>
        <w:rPr>
          <w:sz w:val="32"/>
          <w:szCs w:val="32"/>
        </w:rPr>
        <w:t>DIPLOMOVÁ PRÁCE</w:t>
      </w:r>
    </w:p>
    <w:p w:rsidR="00017F20" w:rsidRDefault="00017F20" w:rsidP="00017F20">
      <w:pPr>
        <w:pStyle w:val="Default"/>
        <w:jc w:val="center"/>
        <w:rPr>
          <w:sz w:val="32"/>
          <w:szCs w:val="32"/>
        </w:rPr>
      </w:pPr>
    </w:p>
    <w:p w:rsidR="00017F20" w:rsidRDefault="00017F20" w:rsidP="00017F20">
      <w:pPr>
        <w:pStyle w:val="Default"/>
        <w:jc w:val="center"/>
        <w:rPr>
          <w:sz w:val="32"/>
          <w:szCs w:val="32"/>
        </w:rPr>
      </w:pPr>
    </w:p>
    <w:p w:rsidR="00017F20" w:rsidRDefault="00017F20" w:rsidP="00017F20">
      <w:pPr>
        <w:pStyle w:val="Default"/>
        <w:jc w:val="center"/>
        <w:rPr>
          <w:sz w:val="28"/>
          <w:szCs w:val="28"/>
        </w:rPr>
      </w:pPr>
      <w:r>
        <w:rPr>
          <w:sz w:val="28"/>
          <w:szCs w:val="28"/>
          <w:lang w:val="nl-NL"/>
        </w:rPr>
        <w:t>POROVN</w:t>
      </w:r>
      <w:r>
        <w:rPr>
          <w:sz w:val="28"/>
          <w:szCs w:val="28"/>
        </w:rPr>
        <w:t>ÁNÍ EXEKUCE SPRÁ</w:t>
      </w:r>
      <w:r>
        <w:rPr>
          <w:sz w:val="28"/>
          <w:szCs w:val="28"/>
          <w:lang w:val="nl-NL"/>
        </w:rPr>
        <w:t>VN</w:t>
      </w:r>
      <w:r>
        <w:rPr>
          <w:sz w:val="28"/>
          <w:szCs w:val="28"/>
        </w:rPr>
        <w:t>Í A SOUDNÍ</w:t>
      </w: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rPr>
          <w:sz w:val="32"/>
          <w:szCs w:val="32"/>
        </w:rPr>
      </w:pPr>
    </w:p>
    <w:p w:rsidR="00017F20" w:rsidRDefault="00017F20" w:rsidP="00017F20">
      <w:pPr>
        <w:pStyle w:val="Default"/>
        <w:jc w:val="both"/>
      </w:pPr>
      <w:r>
        <w:t xml:space="preserve">Autor práce: Tereza Bulantová </w:t>
      </w:r>
    </w:p>
    <w:p w:rsidR="00017F20" w:rsidRDefault="00017F20" w:rsidP="00017F20">
      <w:pPr>
        <w:pStyle w:val="Default"/>
        <w:jc w:val="both"/>
      </w:pPr>
      <w:r>
        <w:t xml:space="preserve">Vedoucí práce: JUDr. Tomáš </w:t>
      </w:r>
      <w:r>
        <w:rPr>
          <w:lang w:val="pt-PT"/>
        </w:rPr>
        <w:t xml:space="preserve">Louda, CSc. </w:t>
      </w:r>
    </w:p>
    <w:p w:rsidR="00017F20" w:rsidRDefault="00017F20" w:rsidP="00017F20">
      <w:pPr>
        <w:pStyle w:val="Default"/>
        <w:jc w:val="both"/>
      </w:pPr>
    </w:p>
    <w:p w:rsidR="00017F20" w:rsidRDefault="00017F20" w:rsidP="00017F20">
      <w:pPr>
        <w:pStyle w:val="Default"/>
        <w:jc w:val="both"/>
      </w:pPr>
    </w:p>
    <w:p w:rsidR="00017F20" w:rsidRDefault="00017F20" w:rsidP="00017F20">
      <w:pPr>
        <w:pStyle w:val="Default"/>
        <w:jc w:val="both"/>
      </w:pPr>
      <w:r>
        <w:t xml:space="preserve">Studijní obor: Veřejná </w:t>
      </w:r>
      <w:r>
        <w:rPr>
          <w:lang w:val="de-DE"/>
        </w:rPr>
        <w:t>spr</w:t>
      </w:r>
      <w:r>
        <w:t xml:space="preserve">áva </w:t>
      </w:r>
    </w:p>
    <w:p w:rsidR="00017F20" w:rsidRDefault="00017F20" w:rsidP="00017F20">
      <w:pPr>
        <w:pStyle w:val="Default"/>
        <w:jc w:val="both"/>
      </w:pPr>
      <w:r>
        <w:t xml:space="preserve">Forma studia: Prezenční </w:t>
      </w:r>
    </w:p>
    <w:p w:rsidR="00017F20" w:rsidRDefault="00017F20" w:rsidP="00017F20">
      <w:pPr>
        <w:pStyle w:val="Default"/>
        <w:jc w:val="both"/>
      </w:pPr>
      <w:r>
        <w:t>Katedra: Katedra veřejn</w:t>
      </w:r>
      <w:r>
        <w:rPr>
          <w:lang w:val="fr-FR"/>
        </w:rPr>
        <w:t xml:space="preserve">é </w:t>
      </w:r>
      <w:r>
        <w:rPr>
          <w:lang w:val="de-DE"/>
        </w:rPr>
        <w:t>spr</w:t>
      </w:r>
      <w:r>
        <w:t xml:space="preserve">ávy </w:t>
      </w:r>
    </w:p>
    <w:p w:rsidR="00017F20" w:rsidRDefault="00017F20" w:rsidP="00017F20">
      <w:pPr>
        <w:pStyle w:val="Default"/>
        <w:jc w:val="both"/>
      </w:pPr>
    </w:p>
    <w:p w:rsidR="00017F20" w:rsidRDefault="00017F20" w:rsidP="00017F20">
      <w:pPr>
        <w:pStyle w:val="Default"/>
        <w:jc w:val="both"/>
      </w:pPr>
    </w:p>
    <w:p w:rsidR="00017F20" w:rsidRDefault="00017F20" w:rsidP="00017F20">
      <w:pPr>
        <w:pStyle w:val="Default"/>
        <w:jc w:val="both"/>
      </w:pPr>
    </w:p>
    <w:p w:rsidR="00017F20" w:rsidRDefault="00017F20" w:rsidP="00017F20">
      <w:pPr>
        <w:jc w:val="center"/>
        <w:rPr>
          <w:rFonts w:eastAsia="Times New Roman" w:cs="Times New Roman"/>
          <w:szCs w:val="24"/>
        </w:rPr>
      </w:pPr>
      <w:r>
        <w:rPr>
          <w:szCs w:val="24"/>
        </w:rPr>
        <w:t>2019</w:t>
      </w: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017F20" w:rsidRDefault="00017F20" w:rsidP="00036FA2">
      <w:pPr>
        <w:pStyle w:val="Nadpisobsahu"/>
        <w:spacing w:before="0" w:line="360" w:lineRule="auto"/>
        <w:ind w:firstLine="0"/>
        <w:jc w:val="both"/>
        <w:rPr>
          <w:rFonts w:ascii="Times New Roman" w:hAnsi="Times New Roman" w:cs="Times New Roman"/>
          <w:color w:val="auto"/>
          <w:sz w:val="32"/>
          <w:szCs w:val="32"/>
        </w:rPr>
      </w:pPr>
    </w:p>
    <w:p w:rsidR="00971034" w:rsidRPr="00971034" w:rsidRDefault="00017F20" w:rsidP="00036FA2">
      <w:pPr>
        <w:pStyle w:val="Nadpisobsahu"/>
        <w:spacing w:before="0" w:line="360" w:lineRule="auto"/>
        <w:ind w:firstLine="0"/>
        <w:jc w:val="both"/>
        <w:rPr>
          <w:rFonts w:ascii="Times New Roman" w:hAnsi="Times New Roman" w:cs="Times New Roman"/>
          <w:color w:val="auto"/>
          <w:sz w:val="32"/>
          <w:szCs w:val="32"/>
        </w:rPr>
      </w:pPr>
      <w:r>
        <w:rPr>
          <w:rFonts w:ascii="Times New Roman" w:hAnsi="Times New Roman" w:cs="Times New Roman"/>
          <w:color w:val="auto"/>
          <w:sz w:val="32"/>
          <w:szCs w:val="32"/>
        </w:rPr>
        <w:t>P</w:t>
      </w:r>
      <w:r w:rsidR="00971034">
        <w:rPr>
          <w:rFonts w:ascii="Times New Roman" w:hAnsi="Times New Roman" w:cs="Times New Roman"/>
          <w:color w:val="auto"/>
          <w:sz w:val="32"/>
          <w:szCs w:val="32"/>
        </w:rPr>
        <w:t>roh</w:t>
      </w:r>
      <w:r w:rsidR="00971034" w:rsidRPr="00971034">
        <w:rPr>
          <w:rFonts w:ascii="Times New Roman" w:hAnsi="Times New Roman" w:cs="Times New Roman"/>
          <w:color w:val="auto"/>
          <w:sz w:val="32"/>
          <w:szCs w:val="32"/>
        </w:rPr>
        <w:t xml:space="preserve">lášení </w:t>
      </w:r>
    </w:p>
    <w:p w:rsidR="00017F20" w:rsidRDefault="00017F20" w:rsidP="00017F20">
      <w:pPr>
        <w:pStyle w:val="Default"/>
        <w:spacing w:line="360" w:lineRule="auto"/>
        <w:ind w:firstLine="708"/>
        <w:jc w:val="both"/>
      </w:pPr>
      <w:r>
        <w:t>Prohlašuji, že jsem diplomovou práci na t</w:t>
      </w:r>
      <w:r>
        <w:rPr>
          <w:lang w:val="fr-FR"/>
        </w:rPr>
        <w:t>é</w:t>
      </w:r>
      <w:r>
        <w:rPr>
          <w:lang w:val="it-IT"/>
        </w:rPr>
        <w:t xml:space="preserve">ma </w:t>
      </w:r>
      <w:r>
        <w:t xml:space="preserve">„Porovnání exekuce správní a soudní“ vypracovala samostatně, pod odborným dohledem vedoucího diplomové práce s použitím zdrojů uvedených v seznamu literatury. </w:t>
      </w:r>
    </w:p>
    <w:p w:rsidR="006D78CB" w:rsidRDefault="006D78CB" w:rsidP="006D78CB">
      <w:pPr>
        <w:pStyle w:val="Nadpisobsahu"/>
        <w:spacing w:before="0" w:line="360" w:lineRule="auto"/>
        <w:rPr>
          <w:rFonts w:ascii="Times New Roman" w:hAnsi="Times New Roman" w:cs="Times New Roman"/>
          <w:b w:val="0"/>
          <w:color w:val="auto"/>
          <w:sz w:val="24"/>
          <w:szCs w:val="24"/>
        </w:rPr>
      </w:pPr>
    </w:p>
    <w:p w:rsidR="006D78CB" w:rsidRDefault="006D78CB" w:rsidP="00993DA4">
      <w:pPr>
        <w:pStyle w:val="Nadpisobsahu"/>
        <w:spacing w:before="0" w:line="360" w:lineRule="auto"/>
        <w:ind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V Plzni dne 31. března 201</w:t>
      </w:r>
      <w:r w:rsidR="00595AE7">
        <w:rPr>
          <w:rFonts w:ascii="Times New Roman" w:hAnsi="Times New Roman" w:cs="Times New Roman"/>
          <w:b w:val="0"/>
          <w:color w:val="auto"/>
          <w:sz w:val="24"/>
          <w:szCs w:val="24"/>
        </w:rPr>
        <w:t>9</w:t>
      </w:r>
      <w:r>
        <w:rPr>
          <w:rFonts w:ascii="Times New Roman" w:hAnsi="Times New Roman" w:cs="Times New Roman"/>
          <w:b w:val="0"/>
          <w:color w:val="auto"/>
          <w:sz w:val="24"/>
          <w:szCs w:val="24"/>
        </w:rPr>
        <w:t xml:space="preserve">                                     </w:t>
      </w:r>
      <w:r w:rsidR="00971034" w:rsidRPr="00971034">
        <w:rPr>
          <w:rFonts w:ascii="Times New Roman" w:hAnsi="Times New Roman" w:cs="Times New Roman"/>
          <w:b w:val="0"/>
          <w:color w:val="auto"/>
          <w:sz w:val="24"/>
          <w:szCs w:val="24"/>
        </w:rPr>
        <w:t xml:space="preserve"> ………...…………………… </w:t>
      </w:r>
      <w:r w:rsidR="00971034">
        <w:rPr>
          <w:rFonts w:ascii="Times New Roman" w:hAnsi="Times New Roman" w:cs="Times New Roman"/>
          <w:b w:val="0"/>
          <w:color w:val="auto"/>
          <w:sz w:val="24"/>
          <w:szCs w:val="24"/>
        </w:rPr>
        <w:t xml:space="preserve">                 </w:t>
      </w:r>
    </w:p>
    <w:p w:rsidR="00BE34FB" w:rsidRPr="00A74C6D" w:rsidRDefault="00017F20" w:rsidP="00A74C6D">
      <w:pPr>
        <w:pStyle w:val="Nadpisobsahu"/>
        <w:spacing w:before="0" w:line="360" w:lineRule="auto"/>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Tereza Bulantová</w:t>
      </w:r>
      <w:r w:rsidR="00971034">
        <w:br w:type="page"/>
      </w: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017F20" w:rsidRDefault="00017F20" w:rsidP="00993DA4">
      <w:pPr>
        <w:pStyle w:val="Nadpisobsahu"/>
        <w:spacing w:before="0" w:line="360" w:lineRule="auto"/>
        <w:ind w:firstLine="0"/>
        <w:jc w:val="both"/>
        <w:rPr>
          <w:rFonts w:ascii="Times New Roman" w:hAnsi="Times New Roman" w:cs="Times New Roman"/>
          <w:color w:val="auto"/>
          <w:sz w:val="32"/>
          <w:szCs w:val="32"/>
        </w:rPr>
      </w:pPr>
    </w:p>
    <w:p w:rsidR="00E05F17" w:rsidRPr="00E05F17" w:rsidRDefault="00E05F17" w:rsidP="00993DA4">
      <w:pPr>
        <w:pStyle w:val="Nadpisobsahu"/>
        <w:spacing w:before="0" w:line="360" w:lineRule="auto"/>
        <w:ind w:firstLine="0"/>
        <w:jc w:val="both"/>
        <w:rPr>
          <w:rFonts w:ascii="Times New Roman" w:hAnsi="Times New Roman" w:cs="Times New Roman"/>
          <w:color w:val="auto"/>
          <w:sz w:val="32"/>
          <w:szCs w:val="32"/>
        </w:rPr>
      </w:pPr>
      <w:r w:rsidRPr="00E05F17">
        <w:rPr>
          <w:rFonts w:ascii="Times New Roman" w:hAnsi="Times New Roman" w:cs="Times New Roman"/>
          <w:color w:val="auto"/>
          <w:sz w:val="32"/>
          <w:szCs w:val="32"/>
        </w:rPr>
        <w:t xml:space="preserve">Poděkování </w:t>
      </w:r>
    </w:p>
    <w:p w:rsidR="00017F20" w:rsidRDefault="00017F20" w:rsidP="00017F20">
      <w:pPr>
        <w:pStyle w:val="Default"/>
        <w:spacing w:line="360" w:lineRule="auto"/>
        <w:jc w:val="both"/>
      </w:pPr>
      <w:r>
        <w:t>Děkuji vedoucímu diplomov</w:t>
      </w:r>
      <w:r>
        <w:rPr>
          <w:lang w:val="fr-FR"/>
        </w:rPr>
        <w:t xml:space="preserve">é </w:t>
      </w:r>
      <w:r>
        <w:t>práce JUDr. Tomášovi Loudovi, Csc. Za připomínky, metodick</w:t>
      </w:r>
      <w:r>
        <w:rPr>
          <w:lang w:val="fr-FR"/>
        </w:rPr>
        <w:t xml:space="preserve">é </w:t>
      </w:r>
      <w:r>
        <w:t>vedení a vstří</w:t>
      </w:r>
      <w:r>
        <w:rPr>
          <w:lang w:val="it-IT"/>
        </w:rPr>
        <w:t>cn</w:t>
      </w:r>
      <w:r>
        <w:t>ý přístup během zpracování t</w:t>
      </w:r>
      <w:r>
        <w:rPr>
          <w:lang w:val="fr-FR"/>
        </w:rPr>
        <w:t>é</w:t>
      </w:r>
      <w:r>
        <w:rPr>
          <w:lang w:val="it-IT"/>
        </w:rPr>
        <w:t>to pr</w:t>
      </w:r>
      <w:r>
        <w:t xml:space="preserve">áce. </w:t>
      </w:r>
    </w:p>
    <w:p w:rsidR="00017F20" w:rsidRDefault="00017F20" w:rsidP="00017F20">
      <w:pPr>
        <w:pStyle w:val="Default"/>
        <w:spacing w:line="360" w:lineRule="auto"/>
        <w:jc w:val="both"/>
      </w:pPr>
      <w:r>
        <w:t xml:space="preserve">Ráda bych poděkovala Mgr. Zuzaně </w:t>
      </w:r>
      <w:r>
        <w:rPr>
          <w:lang w:val="es-ES_tradnl"/>
        </w:rPr>
        <w:t>Sob</w:t>
      </w:r>
      <w:r>
        <w:t>íškov</w:t>
      </w:r>
      <w:r>
        <w:rPr>
          <w:lang w:val="fr-FR"/>
        </w:rPr>
        <w:t xml:space="preserve">é </w:t>
      </w:r>
      <w:r>
        <w:t>za poskytnutý rozhovor a cenn</w:t>
      </w:r>
      <w:r>
        <w:rPr>
          <w:lang w:val="fr-FR"/>
        </w:rPr>
        <w:t xml:space="preserve">é </w:t>
      </w:r>
      <w:r>
        <w:t>rady, jež načerpala během sv</w:t>
      </w:r>
      <w:r>
        <w:rPr>
          <w:lang w:val="fr-FR"/>
        </w:rPr>
        <w:t>é</w:t>
      </w:r>
      <w:r>
        <w:t>ho studia a působení v exekutorsk</w:t>
      </w:r>
      <w:r>
        <w:rPr>
          <w:lang w:val="fr-FR"/>
        </w:rPr>
        <w:t xml:space="preserve">é </w:t>
      </w:r>
      <w:r>
        <w:t>komoře a na exekutorsk</w:t>
      </w:r>
      <w:r>
        <w:rPr>
          <w:lang w:val="fr-FR"/>
        </w:rPr>
        <w:t>é</w:t>
      </w:r>
      <w:r>
        <w:t>m úřadě Praha 6. Velk</w:t>
      </w:r>
      <w:r>
        <w:rPr>
          <w:lang w:val="fr-FR"/>
        </w:rPr>
        <w:t xml:space="preserve">é </w:t>
      </w:r>
      <w:r>
        <w:t>poděkování patří i cel</w:t>
      </w:r>
      <w:r>
        <w:rPr>
          <w:lang w:val="fr-FR"/>
        </w:rPr>
        <w:t xml:space="preserve">é </w:t>
      </w:r>
      <w:r>
        <w:t>m</w:t>
      </w:r>
      <w:r>
        <w:rPr>
          <w:lang w:val="fr-FR"/>
        </w:rPr>
        <w:t xml:space="preserve">é </w:t>
      </w:r>
      <w:r>
        <w:t>rodině, především mým rodičům za podporu, trpělivost a povzbuzování po dobu celého m</w:t>
      </w:r>
      <w:r>
        <w:rPr>
          <w:lang w:val="fr-FR"/>
        </w:rPr>
        <w:t>é</w:t>
      </w:r>
      <w:r>
        <w:t>ho studia.</w:t>
      </w:r>
    </w:p>
    <w:p w:rsidR="00017F20" w:rsidRDefault="00E05F17" w:rsidP="00017F20">
      <w:pPr>
        <w:pStyle w:val="Default"/>
        <w:spacing w:line="360" w:lineRule="auto"/>
        <w:jc w:val="both"/>
      </w:pPr>
      <w:r w:rsidRPr="00E05F17">
        <w:rPr>
          <w:rFonts w:cs="Times New Roman"/>
          <w:color w:val="auto"/>
        </w:rPr>
        <w:t xml:space="preserve">. </w:t>
      </w:r>
    </w:p>
    <w:p w:rsidR="00017F20" w:rsidRDefault="00017F20">
      <w:pPr>
        <w:spacing w:line="240" w:lineRule="auto"/>
        <w:ind w:firstLine="0"/>
        <w:rPr>
          <w:rFonts w:eastAsia="Arial Unicode MS" w:cs="Arial Unicode MS"/>
          <w:color w:val="000000"/>
          <w:szCs w:val="24"/>
          <w:u w:color="000000"/>
          <w:bdr w:val="nil"/>
          <w:lang w:eastAsia="cs-CZ"/>
        </w:rPr>
      </w:pPr>
      <w:r>
        <w:br w:type="page"/>
      </w:r>
    </w:p>
    <w:p w:rsidR="00017F20" w:rsidRDefault="00017F20" w:rsidP="00017F20">
      <w:pPr>
        <w:pStyle w:val="Default"/>
        <w:spacing w:line="360" w:lineRule="auto"/>
        <w:jc w:val="both"/>
      </w:pPr>
      <w:r>
        <w:t xml:space="preserve">ABSTRAKT </w:t>
      </w:r>
    </w:p>
    <w:p w:rsidR="00017F20" w:rsidRDefault="00017F20" w:rsidP="00017F20">
      <w:pPr>
        <w:pStyle w:val="Default"/>
        <w:spacing w:line="360" w:lineRule="auto"/>
        <w:jc w:val="both"/>
      </w:pPr>
    </w:p>
    <w:p w:rsidR="00017F20" w:rsidRDefault="00017F20" w:rsidP="00017F20">
      <w:pPr>
        <w:pStyle w:val="Default"/>
        <w:spacing w:line="360" w:lineRule="auto"/>
        <w:jc w:val="both"/>
      </w:pPr>
      <w:r>
        <w:t xml:space="preserve">BULANTOVÁ, T. (2015) </w:t>
      </w:r>
      <w:r>
        <w:rPr>
          <w:i/>
          <w:iCs/>
        </w:rPr>
        <w:t xml:space="preserve">Porovnání exekuce správní a soudní: diplomová práce, </w:t>
      </w:r>
      <w:r>
        <w:t>Zá</w:t>
      </w:r>
      <w:r>
        <w:rPr>
          <w:lang w:val="es-ES_tradnl"/>
        </w:rPr>
        <w:t>pado</w:t>
      </w:r>
      <w:r>
        <w:t>česká univerzita v Plzni, Fakulta právnická</w:t>
      </w:r>
      <w:r>
        <w:rPr>
          <w:lang w:val="sv-SE"/>
        </w:rPr>
        <w:t>, Katedra ve</w:t>
      </w:r>
      <w:r>
        <w:t>řejn</w:t>
      </w:r>
      <w:r>
        <w:rPr>
          <w:lang w:val="fr-FR"/>
        </w:rPr>
        <w:t xml:space="preserve">é </w:t>
      </w:r>
      <w:r>
        <w:rPr>
          <w:lang w:val="de-DE"/>
        </w:rPr>
        <w:t>spr</w:t>
      </w:r>
      <w:r>
        <w:t xml:space="preserve">ávy, Plzeň, Česká republika </w:t>
      </w:r>
    </w:p>
    <w:p w:rsidR="00017F20" w:rsidRDefault="00017F20" w:rsidP="00017F20">
      <w:pPr>
        <w:pStyle w:val="Default"/>
        <w:spacing w:line="360" w:lineRule="auto"/>
        <w:jc w:val="both"/>
      </w:pPr>
    </w:p>
    <w:p w:rsidR="00017F20" w:rsidRDefault="00017F20" w:rsidP="00017F20">
      <w:pPr>
        <w:pStyle w:val="Default"/>
        <w:spacing w:line="360" w:lineRule="auto"/>
        <w:jc w:val="both"/>
      </w:pPr>
      <w:r>
        <w:t>Vedoucí diplomov</w:t>
      </w:r>
      <w:r>
        <w:rPr>
          <w:lang w:val="fr-FR"/>
        </w:rPr>
        <w:t xml:space="preserve">é </w:t>
      </w:r>
      <w:r>
        <w:t xml:space="preserve">práce: JUDr. Tomáš Louda, Csc. </w:t>
      </w:r>
    </w:p>
    <w:p w:rsidR="00017F20" w:rsidRDefault="00017F20" w:rsidP="00017F20">
      <w:pPr>
        <w:pStyle w:val="Default"/>
        <w:spacing w:line="360" w:lineRule="auto"/>
        <w:jc w:val="both"/>
      </w:pPr>
    </w:p>
    <w:p w:rsidR="00017F20" w:rsidRDefault="00017F20" w:rsidP="00017F20">
      <w:pPr>
        <w:pStyle w:val="Default"/>
        <w:spacing w:line="360" w:lineRule="auto"/>
        <w:jc w:val="both"/>
      </w:pPr>
    </w:p>
    <w:p w:rsidR="00017F20" w:rsidRDefault="00017F20" w:rsidP="00017F20">
      <w:pPr>
        <w:pStyle w:val="Default"/>
        <w:spacing w:line="360" w:lineRule="auto"/>
        <w:jc w:val="both"/>
      </w:pPr>
      <w:r>
        <w:t>Tato diplomová práce rozšiřuje mou předchozí bakalářskou práci zaměřenou na exekuci správní, soudní jejich střet a vzájemné</w:t>
      </w:r>
      <w:r>
        <w:rPr>
          <w:lang w:val="fr-FR"/>
        </w:rPr>
        <w:t xml:space="preserve"> </w:t>
      </w:r>
      <w:r>
        <w:t>porovnání. V práci je popsán historický vývoj exekučního práva od prvních zmínek, a to především v právu římsk</w:t>
      </w:r>
      <w:r>
        <w:rPr>
          <w:lang w:val="fr-FR"/>
        </w:rPr>
        <w:t>é</w:t>
      </w:r>
      <w:r>
        <w:t>m. Jsou zde rozebrány výše uveden</w:t>
      </w:r>
      <w:r>
        <w:rPr>
          <w:lang w:val="fr-FR"/>
        </w:rPr>
        <w:t xml:space="preserve">é </w:t>
      </w:r>
      <w:r>
        <w:t>exekuce - konkr</w:t>
      </w:r>
      <w:r>
        <w:rPr>
          <w:lang w:val="fr-FR"/>
        </w:rPr>
        <w:t>é</w:t>
      </w:r>
      <w:r>
        <w:t xml:space="preserve">tně předpoklady pro exekuci, jejich druhy, průběh a způsoby plnění. V práci je zmíněn střet obou exekucí a v neposlední řadě porovnání obou exekucí. Dále se zde zaměřuji na místní příslušnost soudních exekutorů neboli teritorialitu. Během vypracovávání práce jsem použila odbornou literaturu, články, judikaturu a příslušnou právní úpravu. </w:t>
      </w:r>
    </w:p>
    <w:p w:rsidR="00017F20" w:rsidRDefault="00017F20" w:rsidP="00017F20">
      <w:pPr>
        <w:pStyle w:val="Default"/>
        <w:spacing w:line="360" w:lineRule="auto"/>
        <w:jc w:val="both"/>
      </w:pPr>
    </w:p>
    <w:p w:rsidR="00017F20" w:rsidRDefault="00017F20" w:rsidP="00017F20">
      <w:pPr>
        <w:pStyle w:val="Default"/>
        <w:spacing w:line="360" w:lineRule="auto"/>
        <w:jc w:val="both"/>
      </w:pPr>
    </w:p>
    <w:p w:rsidR="00017F20" w:rsidRDefault="00017F20" w:rsidP="00017F20">
      <w:pPr>
        <w:pStyle w:val="Default"/>
        <w:spacing w:line="360" w:lineRule="auto"/>
        <w:jc w:val="both"/>
        <w:rPr>
          <w:i/>
          <w:iCs/>
        </w:rPr>
      </w:pPr>
      <w:r>
        <w:rPr>
          <w:b/>
          <w:bCs/>
          <w:lang w:val="de-DE"/>
        </w:rPr>
        <w:t>Kl</w:t>
      </w:r>
      <w:r>
        <w:rPr>
          <w:b/>
          <w:bCs/>
        </w:rPr>
        <w:t xml:space="preserve">íčová slova: </w:t>
      </w:r>
      <w:r>
        <w:rPr>
          <w:i/>
          <w:iCs/>
        </w:rPr>
        <w:t>porovnání, exekuce, exekutor, věřitel, dluh</w:t>
      </w:r>
    </w:p>
    <w:p w:rsidR="00017F20" w:rsidRDefault="00017F20" w:rsidP="00017F20">
      <w:pPr>
        <w:spacing w:line="240" w:lineRule="auto"/>
        <w:rPr>
          <w:rFonts w:eastAsia="Arial Unicode MS" w:cs="Arial Unicode MS"/>
          <w:szCs w:val="24"/>
          <w:lang w:val="de-DE"/>
        </w:rPr>
      </w:pPr>
      <w:r>
        <w:rPr>
          <w:lang w:val="de-DE"/>
        </w:rPr>
        <w:br w:type="page"/>
      </w:r>
    </w:p>
    <w:p w:rsidR="00017F20" w:rsidRDefault="00017F20" w:rsidP="00017F20">
      <w:pPr>
        <w:pStyle w:val="Default"/>
        <w:spacing w:line="360" w:lineRule="auto"/>
        <w:jc w:val="both"/>
      </w:pPr>
      <w:r>
        <w:rPr>
          <w:lang w:val="de-DE"/>
        </w:rPr>
        <w:t xml:space="preserve">ABSTRACT </w:t>
      </w:r>
    </w:p>
    <w:p w:rsidR="00017F20" w:rsidRDefault="00017F20" w:rsidP="00017F20">
      <w:pPr>
        <w:pStyle w:val="Default"/>
        <w:spacing w:line="360" w:lineRule="auto"/>
        <w:jc w:val="both"/>
      </w:pPr>
    </w:p>
    <w:p w:rsidR="00017F20" w:rsidRDefault="00017F20" w:rsidP="00017F20">
      <w:pPr>
        <w:pStyle w:val="Default"/>
        <w:spacing w:line="360" w:lineRule="auto"/>
        <w:jc w:val="both"/>
      </w:pPr>
      <w:r>
        <w:t xml:space="preserve">BULANTOVÁ, T. (2015) </w:t>
      </w:r>
      <w:r>
        <w:rPr>
          <w:i/>
          <w:iCs/>
          <w:lang w:val="en-US"/>
        </w:rPr>
        <w:t xml:space="preserve">Comparation of administrative and judicial execution: diploma thesis. </w:t>
      </w:r>
      <w:r>
        <w:rPr>
          <w:lang w:val="en-US"/>
        </w:rPr>
        <w:t xml:space="preserve">University of west Bohemia, Faculty of law, Department of the Administrative Law, Pilsen, Czech Republic </w:t>
      </w:r>
    </w:p>
    <w:p w:rsidR="00017F20" w:rsidRDefault="00017F20" w:rsidP="00017F20">
      <w:pPr>
        <w:pStyle w:val="Default"/>
        <w:spacing w:line="360" w:lineRule="auto"/>
        <w:jc w:val="both"/>
      </w:pPr>
    </w:p>
    <w:p w:rsidR="00017F20" w:rsidRDefault="00017F20" w:rsidP="00017F20">
      <w:pPr>
        <w:pStyle w:val="Default"/>
        <w:spacing w:line="360" w:lineRule="auto"/>
        <w:jc w:val="both"/>
      </w:pPr>
      <w:r>
        <w:t xml:space="preserve">Supervisor: JUDr. Tomáš Louda, Csc. </w:t>
      </w:r>
    </w:p>
    <w:p w:rsidR="00017F20" w:rsidRDefault="00017F20" w:rsidP="00017F20">
      <w:pPr>
        <w:pStyle w:val="Default"/>
        <w:spacing w:line="360" w:lineRule="auto"/>
        <w:jc w:val="both"/>
      </w:pPr>
    </w:p>
    <w:p w:rsidR="00017F20" w:rsidRDefault="00017F20" w:rsidP="00017F20">
      <w:pPr>
        <w:pStyle w:val="Default"/>
        <w:spacing w:line="360" w:lineRule="auto"/>
        <w:jc w:val="both"/>
      </w:pPr>
    </w:p>
    <w:p w:rsidR="00017F20" w:rsidRDefault="00017F20" w:rsidP="00017F20">
      <w:pPr>
        <w:pStyle w:val="Default"/>
        <w:spacing w:line="360" w:lineRule="auto"/>
        <w:jc w:val="both"/>
      </w:pPr>
      <w:r>
        <w:rPr>
          <w:lang w:val="en-US"/>
        </w:rPr>
        <w:t xml:space="preserve">This thesis extends my previous bachelor thesis focused on administrative execution, judicial execution, their conflict and mutual comparison. The thesis describes the historical development of the </w:t>
      </w:r>
      <w:r>
        <w:t xml:space="preserve">enforcement </w:t>
      </w:r>
      <w:r>
        <w:rPr>
          <w:lang w:val="en-US"/>
        </w:rPr>
        <w:t xml:space="preserve">law from the first written mention, especially in the Roman law. There are also discussed executions mentioned above, especially prerequisites for execution, their types, </w:t>
      </w:r>
      <w:r>
        <w:t>procedure and methods</w:t>
      </w:r>
      <w:r>
        <w:rPr>
          <w:lang w:val="en-US"/>
        </w:rPr>
        <w:t xml:space="preserve">. There is also mentioned conflict of both executions and finally comparing of those executions. Furthermore, I focus on the territorial jurisdiction of bailiffs. During the </w:t>
      </w:r>
      <w:r>
        <w:t xml:space="preserve">processing </w:t>
      </w:r>
      <w:r>
        <w:rPr>
          <w:lang w:val="en-US"/>
        </w:rPr>
        <w:t>of th</w:t>
      </w:r>
      <w:r>
        <w:t>is</w:t>
      </w:r>
      <w:r>
        <w:rPr>
          <w:lang w:val="en-US"/>
        </w:rPr>
        <w:t xml:space="preserve"> thesis, I used </w:t>
      </w:r>
      <w:r>
        <w:t>specialized</w:t>
      </w:r>
      <w:r>
        <w:rPr>
          <w:lang w:val="en-US"/>
        </w:rPr>
        <w:t xml:space="preserve"> literature, articles, case law and relevant legislation.</w:t>
      </w:r>
    </w:p>
    <w:p w:rsidR="00017F20" w:rsidRDefault="00017F20" w:rsidP="00017F20">
      <w:pPr>
        <w:pStyle w:val="Default"/>
        <w:spacing w:line="360" w:lineRule="auto"/>
        <w:jc w:val="both"/>
      </w:pPr>
    </w:p>
    <w:p w:rsidR="00017F20" w:rsidRDefault="00017F20" w:rsidP="00017F20">
      <w:pPr>
        <w:pStyle w:val="Default"/>
        <w:spacing w:line="360" w:lineRule="auto"/>
        <w:jc w:val="both"/>
      </w:pPr>
    </w:p>
    <w:p w:rsidR="00017F20" w:rsidRDefault="00017F20" w:rsidP="00017F20">
      <w:pPr>
        <w:pStyle w:val="Default"/>
        <w:spacing w:line="360" w:lineRule="auto"/>
        <w:jc w:val="both"/>
        <w:rPr>
          <w:i/>
          <w:iCs/>
        </w:rPr>
      </w:pPr>
      <w:r>
        <w:rPr>
          <w:b/>
          <w:bCs/>
          <w:lang w:val="en-US"/>
        </w:rPr>
        <w:t xml:space="preserve">Key words: </w:t>
      </w:r>
      <w:r>
        <w:rPr>
          <w:i/>
          <w:iCs/>
          <w:lang w:val="en-US"/>
        </w:rPr>
        <w:t>comparation, execution, executor, creditor, debt</w:t>
      </w:r>
    </w:p>
    <w:p w:rsidR="00017F20" w:rsidRDefault="00017F20" w:rsidP="00017F20">
      <w:pPr>
        <w:spacing w:line="240" w:lineRule="auto"/>
        <w:rPr>
          <w:rFonts w:ascii="Cambria" w:eastAsia="Cambria" w:hAnsi="Cambria" w:cs="Cambria"/>
          <w:b/>
          <w:bCs/>
          <w:sz w:val="28"/>
          <w:szCs w:val="28"/>
        </w:rPr>
      </w:pPr>
      <w:r>
        <w:br w:type="page"/>
      </w:r>
    </w:p>
    <w:p w:rsidR="00417C7B" w:rsidRPr="00971034" w:rsidRDefault="00417C7B" w:rsidP="00993DA4">
      <w:pPr>
        <w:pStyle w:val="Nadpisobsahu"/>
        <w:spacing w:before="0" w:line="360" w:lineRule="auto"/>
        <w:jc w:val="both"/>
        <w:rPr>
          <w:rFonts w:ascii="Times New Roman" w:hAnsi="Times New Roman" w:cs="Times New Roman"/>
          <w:b w:val="0"/>
          <w:color w:val="auto"/>
          <w:sz w:val="24"/>
          <w:szCs w:val="24"/>
        </w:rPr>
      </w:pPr>
    </w:p>
    <w:sdt>
      <w:sdtPr>
        <w:rPr>
          <w:rFonts w:ascii="Times New Roman" w:eastAsiaTheme="minorHAnsi" w:hAnsi="Times New Roman" w:cstheme="minorBidi"/>
          <w:b w:val="0"/>
          <w:bCs w:val="0"/>
          <w:color w:val="auto"/>
          <w:sz w:val="24"/>
          <w:szCs w:val="22"/>
          <w:lang w:eastAsia="en-US"/>
        </w:rPr>
        <w:id w:val="-168958700"/>
        <w:docPartObj>
          <w:docPartGallery w:val="Table of Contents"/>
          <w:docPartUnique/>
        </w:docPartObj>
      </w:sdtPr>
      <w:sdtEndPr/>
      <w:sdtContent>
        <w:p w:rsidR="00E420FE" w:rsidRPr="006D78CB" w:rsidRDefault="00E420FE" w:rsidP="00993DA4">
          <w:pPr>
            <w:pStyle w:val="Nadpisobsahu"/>
            <w:ind w:firstLine="0"/>
            <w:rPr>
              <w:rStyle w:val="Nadpis1Char"/>
              <w:b/>
              <w:color w:val="auto"/>
            </w:rPr>
          </w:pPr>
          <w:r w:rsidRPr="006D78CB">
            <w:rPr>
              <w:rStyle w:val="Nadpis1Char"/>
              <w:b/>
              <w:color w:val="auto"/>
            </w:rPr>
            <w:t>Obsah</w:t>
          </w:r>
        </w:p>
        <w:p w:rsidR="001A622A" w:rsidRDefault="00E420FE">
          <w:pPr>
            <w:pStyle w:val="Obsah1"/>
            <w:rPr>
              <w:rFonts w:asciiTheme="minorHAnsi" w:eastAsiaTheme="minorEastAsia" w:hAnsiTheme="minorHAnsi"/>
              <w:noProof/>
              <w:sz w:val="22"/>
              <w:lang w:eastAsia="cs-CZ"/>
            </w:rPr>
          </w:pPr>
          <w:r w:rsidRPr="00E420FE">
            <w:fldChar w:fldCharType="begin"/>
          </w:r>
          <w:r w:rsidRPr="00E420FE">
            <w:instrText xml:space="preserve"> TOC \o "1-3" \h \z \u </w:instrText>
          </w:r>
          <w:r w:rsidRPr="00E420FE">
            <w:fldChar w:fldCharType="separate"/>
          </w:r>
          <w:hyperlink w:anchor="_Toc18313935" w:history="1">
            <w:r w:rsidR="001A622A" w:rsidRPr="0099349C">
              <w:rPr>
                <w:rStyle w:val="Hypertextovodkaz"/>
                <w:noProof/>
                <w:u w:color="000000"/>
              </w:rPr>
              <w:t>Úvod</w:t>
            </w:r>
            <w:r w:rsidR="001A622A">
              <w:rPr>
                <w:noProof/>
                <w:webHidden/>
              </w:rPr>
              <w:tab/>
            </w:r>
            <w:r w:rsidR="001A622A">
              <w:rPr>
                <w:noProof/>
                <w:webHidden/>
              </w:rPr>
              <w:fldChar w:fldCharType="begin"/>
            </w:r>
            <w:r w:rsidR="001A622A">
              <w:rPr>
                <w:noProof/>
                <w:webHidden/>
              </w:rPr>
              <w:instrText xml:space="preserve"> PAGEREF _Toc18313935 \h </w:instrText>
            </w:r>
            <w:r w:rsidR="001A622A">
              <w:rPr>
                <w:noProof/>
                <w:webHidden/>
              </w:rPr>
            </w:r>
            <w:r w:rsidR="001A622A">
              <w:rPr>
                <w:noProof/>
                <w:webHidden/>
              </w:rPr>
              <w:fldChar w:fldCharType="separate"/>
            </w:r>
            <w:r w:rsidR="001A622A">
              <w:rPr>
                <w:noProof/>
                <w:webHidden/>
              </w:rPr>
              <w:t>9</w:t>
            </w:r>
            <w:r w:rsidR="001A622A">
              <w:rPr>
                <w:noProof/>
                <w:webHidden/>
              </w:rPr>
              <w:fldChar w:fldCharType="end"/>
            </w:r>
          </w:hyperlink>
        </w:p>
        <w:p w:rsidR="001A622A" w:rsidRDefault="00AE0061">
          <w:pPr>
            <w:pStyle w:val="Obsah1"/>
            <w:tabs>
              <w:tab w:val="left" w:pos="1100"/>
            </w:tabs>
            <w:rPr>
              <w:rFonts w:asciiTheme="minorHAnsi" w:eastAsiaTheme="minorEastAsia" w:hAnsiTheme="minorHAnsi"/>
              <w:noProof/>
              <w:sz w:val="22"/>
              <w:lang w:eastAsia="cs-CZ"/>
            </w:rPr>
          </w:pPr>
          <w:hyperlink w:anchor="_Toc18313936" w:history="1">
            <w:r w:rsidR="001A622A" w:rsidRPr="0099349C">
              <w:rPr>
                <w:rStyle w:val="Hypertextovodkaz"/>
                <w:rFonts w:eastAsia="Cambria" w:cs="Cambria"/>
                <w:noProof/>
              </w:rPr>
              <w:t>1</w:t>
            </w:r>
            <w:r w:rsidR="001A622A">
              <w:rPr>
                <w:rFonts w:asciiTheme="minorHAnsi" w:eastAsiaTheme="minorEastAsia" w:hAnsiTheme="minorHAnsi"/>
                <w:noProof/>
                <w:sz w:val="22"/>
                <w:lang w:eastAsia="cs-CZ"/>
              </w:rPr>
              <w:tab/>
            </w:r>
            <w:r w:rsidR="001A622A" w:rsidRPr="0099349C">
              <w:rPr>
                <w:rStyle w:val="Hypertextovodkaz"/>
                <w:noProof/>
                <w:u w:color="000000"/>
              </w:rPr>
              <w:t>Historický vývoj exekučního práva</w:t>
            </w:r>
            <w:r w:rsidR="001A622A">
              <w:rPr>
                <w:noProof/>
                <w:webHidden/>
              </w:rPr>
              <w:tab/>
            </w:r>
            <w:r w:rsidR="001A622A">
              <w:rPr>
                <w:noProof/>
                <w:webHidden/>
              </w:rPr>
              <w:fldChar w:fldCharType="begin"/>
            </w:r>
            <w:r w:rsidR="001A622A">
              <w:rPr>
                <w:noProof/>
                <w:webHidden/>
              </w:rPr>
              <w:instrText xml:space="preserve"> PAGEREF _Toc18313936 \h </w:instrText>
            </w:r>
            <w:r w:rsidR="001A622A">
              <w:rPr>
                <w:noProof/>
                <w:webHidden/>
              </w:rPr>
            </w:r>
            <w:r w:rsidR="001A622A">
              <w:rPr>
                <w:noProof/>
                <w:webHidden/>
              </w:rPr>
              <w:fldChar w:fldCharType="separate"/>
            </w:r>
            <w:r w:rsidR="001A622A">
              <w:rPr>
                <w:noProof/>
                <w:webHidden/>
              </w:rPr>
              <w:t>11</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37" w:history="1">
            <w:r w:rsidR="001A622A" w:rsidRPr="0099349C">
              <w:rPr>
                <w:rStyle w:val="Hypertextovodkaz"/>
                <w:rFonts w:eastAsia="Cambria" w:cs="Cambria"/>
                <w:noProof/>
              </w:rPr>
              <w:t>1.1</w:t>
            </w:r>
            <w:r w:rsidR="001A622A">
              <w:rPr>
                <w:rFonts w:asciiTheme="minorHAnsi" w:eastAsiaTheme="minorEastAsia" w:hAnsiTheme="minorHAnsi"/>
                <w:noProof/>
                <w:sz w:val="22"/>
                <w:lang w:eastAsia="cs-CZ"/>
              </w:rPr>
              <w:tab/>
            </w:r>
            <w:r w:rsidR="001A622A" w:rsidRPr="0099349C">
              <w:rPr>
                <w:rStyle w:val="Hypertextovodkaz"/>
                <w:noProof/>
                <w:u w:color="000000"/>
              </w:rPr>
              <w:t>Počátky exe</w:t>
            </w:r>
            <w:r w:rsidR="001A622A" w:rsidRPr="0099349C">
              <w:rPr>
                <w:rStyle w:val="Hypertextovodkaz"/>
                <w:noProof/>
              </w:rPr>
              <w:t>k</w:t>
            </w:r>
            <w:r w:rsidR="001A622A" w:rsidRPr="0099349C">
              <w:rPr>
                <w:rStyle w:val="Hypertextovodkaz"/>
                <w:noProof/>
                <w:u w:color="000000"/>
              </w:rPr>
              <w:t>uce</w:t>
            </w:r>
            <w:r w:rsidR="001A622A">
              <w:rPr>
                <w:noProof/>
                <w:webHidden/>
              </w:rPr>
              <w:tab/>
            </w:r>
            <w:r w:rsidR="001A622A">
              <w:rPr>
                <w:noProof/>
                <w:webHidden/>
              </w:rPr>
              <w:fldChar w:fldCharType="begin"/>
            </w:r>
            <w:r w:rsidR="001A622A">
              <w:rPr>
                <w:noProof/>
                <w:webHidden/>
              </w:rPr>
              <w:instrText xml:space="preserve"> PAGEREF _Toc18313937 \h </w:instrText>
            </w:r>
            <w:r w:rsidR="001A622A">
              <w:rPr>
                <w:noProof/>
                <w:webHidden/>
              </w:rPr>
            </w:r>
            <w:r w:rsidR="001A622A">
              <w:rPr>
                <w:noProof/>
                <w:webHidden/>
              </w:rPr>
              <w:fldChar w:fldCharType="separate"/>
            </w:r>
            <w:r w:rsidR="001A622A">
              <w:rPr>
                <w:noProof/>
                <w:webHidden/>
              </w:rPr>
              <w:t>11</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38" w:history="1">
            <w:r w:rsidR="001A622A" w:rsidRPr="0099349C">
              <w:rPr>
                <w:rStyle w:val="Hypertextovodkaz"/>
                <w:rFonts w:eastAsia="Cambria" w:cs="Cambria"/>
                <w:noProof/>
              </w:rPr>
              <w:t>1.2</w:t>
            </w:r>
            <w:r w:rsidR="001A622A">
              <w:rPr>
                <w:rFonts w:asciiTheme="minorHAnsi" w:eastAsiaTheme="minorEastAsia" w:hAnsiTheme="minorHAnsi"/>
                <w:noProof/>
                <w:sz w:val="22"/>
                <w:lang w:eastAsia="cs-CZ"/>
              </w:rPr>
              <w:tab/>
            </w:r>
            <w:r w:rsidR="001A622A" w:rsidRPr="0099349C">
              <w:rPr>
                <w:rStyle w:val="Hypertextovodkaz"/>
                <w:noProof/>
                <w:u w:color="000000"/>
              </w:rPr>
              <w:t>Exekuce v římském právu</w:t>
            </w:r>
            <w:r w:rsidR="001A622A">
              <w:rPr>
                <w:noProof/>
                <w:webHidden/>
              </w:rPr>
              <w:tab/>
            </w:r>
            <w:r w:rsidR="001A622A">
              <w:rPr>
                <w:noProof/>
                <w:webHidden/>
              </w:rPr>
              <w:fldChar w:fldCharType="begin"/>
            </w:r>
            <w:r w:rsidR="001A622A">
              <w:rPr>
                <w:noProof/>
                <w:webHidden/>
              </w:rPr>
              <w:instrText xml:space="preserve"> PAGEREF _Toc18313938 \h </w:instrText>
            </w:r>
            <w:r w:rsidR="001A622A">
              <w:rPr>
                <w:noProof/>
                <w:webHidden/>
              </w:rPr>
            </w:r>
            <w:r w:rsidR="001A622A">
              <w:rPr>
                <w:noProof/>
                <w:webHidden/>
              </w:rPr>
              <w:fldChar w:fldCharType="separate"/>
            </w:r>
            <w:r w:rsidR="001A622A">
              <w:rPr>
                <w:noProof/>
                <w:webHidden/>
              </w:rPr>
              <w:t>11</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39" w:history="1">
            <w:r w:rsidR="001A622A" w:rsidRPr="0099349C">
              <w:rPr>
                <w:rStyle w:val="Hypertextovodkaz"/>
                <w:rFonts w:eastAsia="Cambria" w:cs="Cambria"/>
                <w:noProof/>
              </w:rPr>
              <w:t>1.3</w:t>
            </w:r>
            <w:r w:rsidR="001A622A">
              <w:rPr>
                <w:rFonts w:asciiTheme="minorHAnsi" w:eastAsiaTheme="minorEastAsia" w:hAnsiTheme="minorHAnsi"/>
                <w:noProof/>
                <w:sz w:val="22"/>
                <w:lang w:eastAsia="cs-CZ"/>
              </w:rPr>
              <w:tab/>
            </w:r>
            <w:r w:rsidR="001A622A" w:rsidRPr="0099349C">
              <w:rPr>
                <w:rStyle w:val="Hypertextovodkaz"/>
                <w:noProof/>
                <w:u w:color="000000"/>
              </w:rPr>
              <w:t>Exekuce podle práva zemsk</w:t>
            </w:r>
            <w:r w:rsidR="001A622A" w:rsidRPr="0099349C">
              <w:rPr>
                <w:rStyle w:val="Hypertextovodkaz"/>
                <w:noProof/>
                <w:u w:color="000000"/>
                <w:lang w:val="fr-FR"/>
              </w:rPr>
              <w:t>é</w:t>
            </w:r>
            <w:r w:rsidR="001A622A" w:rsidRPr="0099349C">
              <w:rPr>
                <w:rStyle w:val="Hypertextovodkaz"/>
                <w:noProof/>
                <w:u w:color="000000"/>
              </w:rPr>
              <w:t>ho</w:t>
            </w:r>
            <w:r w:rsidR="001A622A">
              <w:rPr>
                <w:noProof/>
                <w:webHidden/>
              </w:rPr>
              <w:tab/>
            </w:r>
            <w:r w:rsidR="001A622A">
              <w:rPr>
                <w:noProof/>
                <w:webHidden/>
              </w:rPr>
              <w:fldChar w:fldCharType="begin"/>
            </w:r>
            <w:r w:rsidR="001A622A">
              <w:rPr>
                <w:noProof/>
                <w:webHidden/>
              </w:rPr>
              <w:instrText xml:space="preserve"> PAGEREF _Toc18313939 \h </w:instrText>
            </w:r>
            <w:r w:rsidR="001A622A">
              <w:rPr>
                <w:noProof/>
                <w:webHidden/>
              </w:rPr>
            </w:r>
            <w:r w:rsidR="001A622A">
              <w:rPr>
                <w:noProof/>
                <w:webHidden/>
              </w:rPr>
              <w:fldChar w:fldCharType="separate"/>
            </w:r>
            <w:r w:rsidR="001A622A">
              <w:rPr>
                <w:noProof/>
                <w:webHidden/>
              </w:rPr>
              <w:t>14</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0" w:history="1">
            <w:r w:rsidR="001A622A" w:rsidRPr="0099349C">
              <w:rPr>
                <w:rStyle w:val="Hypertextovodkaz"/>
                <w:rFonts w:eastAsia="Cambria" w:cs="Cambria"/>
                <w:noProof/>
              </w:rPr>
              <w:t>1.4</w:t>
            </w:r>
            <w:r w:rsidR="001A622A">
              <w:rPr>
                <w:rFonts w:asciiTheme="minorHAnsi" w:eastAsiaTheme="minorEastAsia" w:hAnsiTheme="minorHAnsi"/>
                <w:noProof/>
                <w:sz w:val="22"/>
                <w:lang w:eastAsia="cs-CZ"/>
              </w:rPr>
              <w:tab/>
            </w:r>
            <w:r w:rsidR="001A622A" w:rsidRPr="0099349C">
              <w:rPr>
                <w:rStyle w:val="Hypertextovodkaz"/>
                <w:noProof/>
                <w:u w:color="000000"/>
              </w:rPr>
              <w:t>Exekuce v právu městsk</w:t>
            </w:r>
            <w:r w:rsidR="001A622A" w:rsidRPr="0099349C">
              <w:rPr>
                <w:rStyle w:val="Hypertextovodkaz"/>
                <w:noProof/>
                <w:u w:color="000000"/>
                <w:lang w:val="fr-FR"/>
              </w:rPr>
              <w:t>é</w:t>
            </w:r>
            <w:r w:rsidR="001A622A" w:rsidRPr="0099349C">
              <w:rPr>
                <w:rStyle w:val="Hypertextovodkaz"/>
                <w:noProof/>
                <w:u w:color="000000"/>
              </w:rPr>
              <w:t>m</w:t>
            </w:r>
            <w:r w:rsidR="001A622A">
              <w:rPr>
                <w:noProof/>
                <w:webHidden/>
              </w:rPr>
              <w:tab/>
            </w:r>
            <w:r w:rsidR="001A622A">
              <w:rPr>
                <w:noProof/>
                <w:webHidden/>
              </w:rPr>
              <w:fldChar w:fldCharType="begin"/>
            </w:r>
            <w:r w:rsidR="001A622A">
              <w:rPr>
                <w:noProof/>
                <w:webHidden/>
              </w:rPr>
              <w:instrText xml:space="preserve"> PAGEREF _Toc18313940 \h </w:instrText>
            </w:r>
            <w:r w:rsidR="001A622A">
              <w:rPr>
                <w:noProof/>
                <w:webHidden/>
              </w:rPr>
            </w:r>
            <w:r w:rsidR="001A622A">
              <w:rPr>
                <w:noProof/>
                <w:webHidden/>
              </w:rPr>
              <w:fldChar w:fldCharType="separate"/>
            </w:r>
            <w:r w:rsidR="001A622A">
              <w:rPr>
                <w:noProof/>
                <w:webHidden/>
              </w:rPr>
              <w:t>15</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1" w:history="1">
            <w:r w:rsidR="001A622A" w:rsidRPr="0099349C">
              <w:rPr>
                <w:rStyle w:val="Hypertextovodkaz"/>
                <w:rFonts w:eastAsia="Cambria" w:cs="Cambria"/>
                <w:noProof/>
              </w:rPr>
              <w:t>1.5</w:t>
            </w:r>
            <w:r w:rsidR="001A622A">
              <w:rPr>
                <w:rFonts w:asciiTheme="minorHAnsi" w:eastAsiaTheme="minorEastAsia" w:hAnsiTheme="minorHAnsi"/>
                <w:noProof/>
                <w:sz w:val="22"/>
                <w:lang w:eastAsia="cs-CZ"/>
              </w:rPr>
              <w:tab/>
            </w:r>
            <w:r w:rsidR="001A622A" w:rsidRPr="0099349C">
              <w:rPr>
                <w:rStyle w:val="Hypertextovodkaz"/>
                <w:noProof/>
                <w:u w:color="000000"/>
              </w:rPr>
              <w:t>Exekuce v době osvícenství</w:t>
            </w:r>
            <w:r w:rsidR="001A622A">
              <w:rPr>
                <w:noProof/>
                <w:webHidden/>
              </w:rPr>
              <w:tab/>
            </w:r>
            <w:r w:rsidR="001A622A">
              <w:rPr>
                <w:noProof/>
                <w:webHidden/>
              </w:rPr>
              <w:fldChar w:fldCharType="begin"/>
            </w:r>
            <w:r w:rsidR="001A622A">
              <w:rPr>
                <w:noProof/>
                <w:webHidden/>
              </w:rPr>
              <w:instrText xml:space="preserve"> PAGEREF _Toc18313941 \h </w:instrText>
            </w:r>
            <w:r w:rsidR="001A622A">
              <w:rPr>
                <w:noProof/>
                <w:webHidden/>
              </w:rPr>
            </w:r>
            <w:r w:rsidR="001A622A">
              <w:rPr>
                <w:noProof/>
                <w:webHidden/>
              </w:rPr>
              <w:fldChar w:fldCharType="separate"/>
            </w:r>
            <w:r w:rsidR="001A622A">
              <w:rPr>
                <w:noProof/>
                <w:webHidden/>
              </w:rPr>
              <w:t>16</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2" w:history="1">
            <w:r w:rsidR="001A622A" w:rsidRPr="0099349C">
              <w:rPr>
                <w:rStyle w:val="Hypertextovodkaz"/>
                <w:rFonts w:eastAsia="Cambria" w:cs="Cambria"/>
                <w:noProof/>
              </w:rPr>
              <w:t>1.6</w:t>
            </w:r>
            <w:r w:rsidR="001A622A">
              <w:rPr>
                <w:rFonts w:asciiTheme="minorHAnsi" w:eastAsiaTheme="minorEastAsia" w:hAnsiTheme="minorHAnsi"/>
                <w:noProof/>
                <w:sz w:val="22"/>
                <w:lang w:eastAsia="cs-CZ"/>
              </w:rPr>
              <w:tab/>
            </w:r>
            <w:r w:rsidR="001A622A" w:rsidRPr="0099349C">
              <w:rPr>
                <w:rStyle w:val="Hypertextovodkaz"/>
                <w:noProof/>
                <w:u w:color="000000"/>
              </w:rPr>
              <w:t>Exekuční právo od roku 1895 do roku 1963</w:t>
            </w:r>
            <w:r w:rsidR="001A622A">
              <w:rPr>
                <w:noProof/>
                <w:webHidden/>
              </w:rPr>
              <w:tab/>
            </w:r>
            <w:r w:rsidR="001A622A">
              <w:rPr>
                <w:noProof/>
                <w:webHidden/>
              </w:rPr>
              <w:fldChar w:fldCharType="begin"/>
            </w:r>
            <w:r w:rsidR="001A622A">
              <w:rPr>
                <w:noProof/>
                <w:webHidden/>
              </w:rPr>
              <w:instrText xml:space="preserve"> PAGEREF _Toc18313942 \h </w:instrText>
            </w:r>
            <w:r w:rsidR="001A622A">
              <w:rPr>
                <w:noProof/>
                <w:webHidden/>
              </w:rPr>
            </w:r>
            <w:r w:rsidR="001A622A">
              <w:rPr>
                <w:noProof/>
                <w:webHidden/>
              </w:rPr>
              <w:fldChar w:fldCharType="separate"/>
            </w:r>
            <w:r w:rsidR="001A622A">
              <w:rPr>
                <w:noProof/>
                <w:webHidden/>
              </w:rPr>
              <w:t>17</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3" w:history="1">
            <w:r w:rsidR="001A622A" w:rsidRPr="0099349C">
              <w:rPr>
                <w:rStyle w:val="Hypertextovodkaz"/>
                <w:rFonts w:eastAsia="Cambria" w:cs="Cambria"/>
                <w:noProof/>
              </w:rPr>
              <w:t>1.7</w:t>
            </w:r>
            <w:r w:rsidR="001A622A">
              <w:rPr>
                <w:rFonts w:asciiTheme="minorHAnsi" w:eastAsiaTheme="minorEastAsia" w:hAnsiTheme="minorHAnsi"/>
                <w:noProof/>
                <w:sz w:val="22"/>
                <w:lang w:eastAsia="cs-CZ"/>
              </w:rPr>
              <w:tab/>
            </w:r>
            <w:r w:rsidR="001A622A" w:rsidRPr="0099349C">
              <w:rPr>
                <w:rStyle w:val="Hypertextovodkaz"/>
                <w:noProof/>
                <w:u w:color="000000"/>
              </w:rPr>
              <w:t>Přijetí Exekučního řádu</w:t>
            </w:r>
            <w:r w:rsidR="001A622A">
              <w:rPr>
                <w:noProof/>
                <w:webHidden/>
              </w:rPr>
              <w:tab/>
            </w:r>
            <w:r w:rsidR="001A622A">
              <w:rPr>
                <w:noProof/>
                <w:webHidden/>
              </w:rPr>
              <w:fldChar w:fldCharType="begin"/>
            </w:r>
            <w:r w:rsidR="001A622A">
              <w:rPr>
                <w:noProof/>
                <w:webHidden/>
              </w:rPr>
              <w:instrText xml:space="preserve"> PAGEREF _Toc18313943 \h </w:instrText>
            </w:r>
            <w:r w:rsidR="001A622A">
              <w:rPr>
                <w:noProof/>
                <w:webHidden/>
              </w:rPr>
            </w:r>
            <w:r w:rsidR="001A622A">
              <w:rPr>
                <w:noProof/>
                <w:webHidden/>
              </w:rPr>
              <w:fldChar w:fldCharType="separate"/>
            </w:r>
            <w:r w:rsidR="001A622A">
              <w:rPr>
                <w:noProof/>
                <w:webHidden/>
              </w:rPr>
              <w:t>19</w:t>
            </w:r>
            <w:r w:rsidR="001A622A">
              <w:rPr>
                <w:noProof/>
                <w:webHidden/>
              </w:rPr>
              <w:fldChar w:fldCharType="end"/>
            </w:r>
          </w:hyperlink>
        </w:p>
        <w:p w:rsidR="001A622A" w:rsidRDefault="00AE0061">
          <w:pPr>
            <w:pStyle w:val="Obsah1"/>
            <w:tabs>
              <w:tab w:val="left" w:pos="1100"/>
            </w:tabs>
            <w:rPr>
              <w:rFonts w:asciiTheme="minorHAnsi" w:eastAsiaTheme="minorEastAsia" w:hAnsiTheme="minorHAnsi"/>
              <w:noProof/>
              <w:sz w:val="22"/>
              <w:lang w:eastAsia="cs-CZ"/>
            </w:rPr>
          </w:pPr>
          <w:hyperlink w:anchor="_Toc18313944" w:history="1">
            <w:r w:rsidR="001A622A" w:rsidRPr="0099349C">
              <w:rPr>
                <w:rStyle w:val="Hypertextovodkaz"/>
                <w:rFonts w:eastAsia="Cambria" w:cs="Cambria"/>
                <w:noProof/>
              </w:rPr>
              <w:t>2</w:t>
            </w:r>
            <w:r w:rsidR="001A622A">
              <w:rPr>
                <w:rFonts w:asciiTheme="minorHAnsi" w:eastAsiaTheme="minorEastAsia" w:hAnsiTheme="minorHAnsi"/>
                <w:noProof/>
                <w:sz w:val="22"/>
                <w:lang w:eastAsia="cs-CZ"/>
              </w:rPr>
              <w:tab/>
            </w:r>
            <w:r w:rsidR="001A622A" w:rsidRPr="0099349C">
              <w:rPr>
                <w:rStyle w:val="Hypertextovodkaz"/>
                <w:noProof/>
                <w:u w:color="000000"/>
              </w:rPr>
              <w:t>Exekuce</w:t>
            </w:r>
            <w:r w:rsidR="001A622A">
              <w:rPr>
                <w:noProof/>
                <w:webHidden/>
              </w:rPr>
              <w:tab/>
            </w:r>
            <w:r w:rsidR="001A622A">
              <w:rPr>
                <w:noProof/>
                <w:webHidden/>
              </w:rPr>
              <w:fldChar w:fldCharType="begin"/>
            </w:r>
            <w:r w:rsidR="001A622A">
              <w:rPr>
                <w:noProof/>
                <w:webHidden/>
              </w:rPr>
              <w:instrText xml:space="preserve"> PAGEREF _Toc18313944 \h </w:instrText>
            </w:r>
            <w:r w:rsidR="001A622A">
              <w:rPr>
                <w:noProof/>
                <w:webHidden/>
              </w:rPr>
            </w:r>
            <w:r w:rsidR="001A622A">
              <w:rPr>
                <w:noProof/>
                <w:webHidden/>
              </w:rPr>
              <w:fldChar w:fldCharType="separate"/>
            </w:r>
            <w:r w:rsidR="001A622A">
              <w:rPr>
                <w:noProof/>
                <w:webHidden/>
              </w:rPr>
              <w:t>21</w:t>
            </w:r>
            <w:r w:rsidR="001A622A">
              <w:rPr>
                <w:noProof/>
                <w:webHidden/>
              </w:rPr>
              <w:fldChar w:fldCharType="end"/>
            </w:r>
          </w:hyperlink>
        </w:p>
        <w:p w:rsidR="001A622A" w:rsidRDefault="00AE0061">
          <w:pPr>
            <w:pStyle w:val="Obsah1"/>
            <w:tabs>
              <w:tab w:val="left" w:pos="1320"/>
            </w:tabs>
            <w:rPr>
              <w:rFonts w:asciiTheme="minorHAnsi" w:eastAsiaTheme="minorEastAsia" w:hAnsiTheme="minorHAnsi"/>
              <w:noProof/>
              <w:sz w:val="22"/>
              <w:lang w:eastAsia="cs-CZ"/>
            </w:rPr>
          </w:pPr>
          <w:hyperlink w:anchor="_Toc18313945" w:history="1">
            <w:r w:rsidR="001A622A" w:rsidRPr="0099349C">
              <w:rPr>
                <w:rStyle w:val="Hypertextovodkaz"/>
                <w:noProof/>
              </w:rPr>
              <w:t xml:space="preserve">3 </w:t>
            </w:r>
            <w:r w:rsidR="001A622A">
              <w:rPr>
                <w:rFonts w:asciiTheme="minorHAnsi" w:eastAsiaTheme="minorEastAsia" w:hAnsiTheme="minorHAnsi"/>
                <w:noProof/>
                <w:sz w:val="22"/>
                <w:lang w:eastAsia="cs-CZ"/>
              </w:rPr>
              <w:tab/>
            </w:r>
            <w:r w:rsidR="001A622A" w:rsidRPr="0099349C">
              <w:rPr>
                <w:rStyle w:val="Hypertextovodkaz"/>
                <w:noProof/>
              </w:rPr>
              <w:t>Exekuce správní</w:t>
            </w:r>
            <w:r w:rsidR="001A622A">
              <w:rPr>
                <w:noProof/>
                <w:webHidden/>
              </w:rPr>
              <w:tab/>
            </w:r>
            <w:r w:rsidR="001A622A">
              <w:rPr>
                <w:noProof/>
                <w:webHidden/>
              </w:rPr>
              <w:fldChar w:fldCharType="begin"/>
            </w:r>
            <w:r w:rsidR="001A622A">
              <w:rPr>
                <w:noProof/>
                <w:webHidden/>
              </w:rPr>
              <w:instrText xml:space="preserve"> PAGEREF _Toc18313945 \h </w:instrText>
            </w:r>
            <w:r w:rsidR="001A622A">
              <w:rPr>
                <w:noProof/>
                <w:webHidden/>
              </w:rPr>
            </w:r>
            <w:r w:rsidR="001A622A">
              <w:rPr>
                <w:noProof/>
                <w:webHidden/>
              </w:rPr>
              <w:fldChar w:fldCharType="separate"/>
            </w:r>
            <w:r w:rsidR="001A622A">
              <w:rPr>
                <w:noProof/>
                <w:webHidden/>
              </w:rPr>
              <w:t>23</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6" w:history="1">
            <w:r w:rsidR="001A622A" w:rsidRPr="0099349C">
              <w:rPr>
                <w:rStyle w:val="Hypertextovodkaz"/>
                <w:rFonts w:eastAsia="Cambria" w:cs="Cambria"/>
                <w:noProof/>
              </w:rPr>
              <w:t>3.1</w:t>
            </w:r>
            <w:r w:rsidR="001A622A">
              <w:rPr>
                <w:rFonts w:asciiTheme="minorHAnsi" w:eastAsiaTheme="minorEastAsia" w:hAnsiTheme="minorHAnsi"/>
                <w:noProof/>
                <w:sz w:val="22"/>
                <w:lang w:eastAsia="cs-CZ"/>
              </w:rPr>
              <w:tab/>
            </w:r>
            <w:r w:rsidR="001A622A" w:rsidRPr="0099349C">
              <w:rPr>
                <w:rStyle w:val="Hypertextovodkaz"/>
                <w:noProof/>
                <w:u w:color="000000"/>
              </w:rPr>
              <w:t>Exekuční titul</w:t>
            </w:r>
            <w:r w:rsidR="001A622A">
              <w:rPr>
                <w:noProof/>
                <w:webHidden/>
              </w:rPr>
              <w:tab/>
            </w:r>
            <w:r w:rsidR="001A622A">
              <w:rPr>
                <w:noProof/>
                <w:webHidden/>
              </w:rPr>
              <w:fldChar w:fldCharType="begin"/>
            </w:r>
            <w:r w:rsidR="001A622A">
              <w:rPr>
                <w:noProof/>
                <w:webHidden/>
              </w:rPr>
              <w:instrText xml:space="preserve"> PAGEREF _Toc18313946 \h </w:instrText>
            </w:r>
            <w:r w:rsidR="001A622A">
              <w:rPr>
                <w:noProof/>
                <w:webHidden/>
              </w:rPr>
            </w:r>
            <w:r w:rsidR="001A622A">
              <w:rPr>
                <w:noProof/>
                <w:webHidden/>
              </w:rPr>
              <w:fldChar w:fldCharType="separate"/>
            </w:r>
            <w:r w:rsidR="001A622A">
              <w:rPr>
                <w:noProof/>
                <w:webHidden/>
              </w:rPr>
              <w:t>23</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47" w:history="1">
            <w:r w:rsidR="001A622A" w:rsidRPr="0099349C">
              <w:rPr>
                <w:rStyle w:val="Hypertextovodkaz"/>
                <w:noProof/>
                <w:u w:color="000000"/>
              </w:rPr>
              <w:t>3.1.1</w:t>
            </w:r>
            <w:r w:rsidR="001A622A">
              <w:rPr>
                <w:rFonts w:asciiTheme="minorHAnsi" w:eastAsiaTheme="minorEastAsia" w:hAnsiTheme="minorHAnsi"/>
                <w:noProof/>
                <w:sz w:val="22"/>
                <w:lang w:eastAsia="cs-CZ"/>
              </w:rPr>
              <w:tab/>
            </w:r>
            <w:r w:rsidR="001A622A" w:rsidRPr="0099349C">
              <w:rPr>
                <w:rStyle w:val="Hypertextovodkaz"/>
                <w:noProof/>
                <w:u w:color="000000"/>
              </w:rPr>
              <w:t>Exekuční titul dle správního řá</w:t>
            </w:r>
            <w:r w:rsidR="001A622A" w:rsidRPr="0099349C">
              <w:rPr>
                <w:rStyle w:val="Hypertextovodkaz"/>
                <w:noProof/>
                <w:u w:color="000000"/>
                <w:lang w:val="fr-FR"/>
              </w:rPr>
              <w:t>du</w:t>
            </w:r>
            <w:r w:rsidR="001A622A">
              <w:rPr>
                <w:noProof/>
                <w:webHidden/>
              </w:rPr>
              <w:tab/>
            </w:r>
            <w:r w:rsidR="001A622A">
              <w:rPr>
                <w:noProof/>
                <w:webHidden/>
              </w:rPr>
              <w:fldChar w:fldCharType="begin"/>
            </w:r>
            <w:r w:rsidR="001A622A">
              <w:rPr>
                <w:noProof/>
                <w:webHidden/>
              </w:rPr>
              <w:instrText xml:space="preserve"> PAGEREF _Toc18313947 \h </w:instrText>
            </w:r>
            <w:r w:rsidR="001A622A">
              <w:rPr>
                <w:noProof/>
                <w:webHidden/>
              </w:rPr>
            </w:r>
            <w:r w:rsidR="001A622A">
              <w:rPr>
                <w:noProof/>
                <w:webHidden/>
              </w:rPr>
              <w:fldChar w:fldCharType="separate"/>
            </w:r>
            <w:r w:rsidR="001A622A">
              <w:rPr>
                <w:noProof/>
                <w:webHidden/>
              </w:rPr>
              <w:t>24</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48" w:history="1">
            <w:r w:rsidR="001A622A" w:rsidRPr="0099349C">
              <w:rPr>
                <w:rStyle w:val="Hypertextovodkaz"/>
                <w:noProof/>
                <w:u w:color="000000"/>
              </w:rPr>
              <w:t>3.1.2</w:t>
            </w:r>
            <w:r w:rsidR="001A622A">
              <w:rPr>
                <w:rFonts w:asciiTheme="minorHAnsi" w:eastAsiaTheme="minorEastAsia" w:hAnsiTheme="minorHAnsi"/>
                <w:noProof/>
                <w:sz w:val="22"/>
                <w:lang w:eastAsia="cs-CZ"/>
              </w:rPr>
              <w:tab/>
            </w:r>
            <w:r w:rsidR="001A622A" w:rsidRPr="0099349C">
              <w:rPr>
                <w:rStyle w:val="Hypertextovodkaz"/>
                <w:noProof/>
                <w:u w:color="000000"/>
              </w:rPr>
              <w:t>Exekuční titul dle daňov</w:t>
            </w:r>
            <w:r w:rsidR="001A622A" w:rsidRPr="0099349C">
              <w:rPr>
                <w:rStyle w:val="Hypertextovodkaz"/>
                <w:noProof/>
                <w:u w:color="000000"/>
                <w:lang w:val="fr-FR"/>
              </w:rPr>
              <w:t>é</w:t>
            </w:r>
            <w:r w:rsidR="001A622A" w:rsidRPr="0099349C">
              <w:rPr>
                <w:rStyle w:val="Hypertextovodkaz"/>
                <w:noProof/>
                <w:u w:color="000000"/>
              </w:rPr>
              <w:t>ho řá</w:t>
            </w:r>
            <w:r w:rsidR="001A622A" w:rsidRPr="0099349C">
              <w:rPr>
                <w:rStyle w:val="Hypertextovodkaz"/>
                <w:noProof/>
                <w:u w:color="000000"/>
                <w:lang w:val="fr-FR"/>
              </w:rPr>
              <w:t>du</w:t>
            </w:r>
            <w:r w:rsidR="001A622A">
              <w:rPr>
                <w:noProof/>
                <w:webHidden/>
              </w:rPr>
              <w:tab/>
            </w:r>
            <w:r w:rsidR="001A622A">
              <w:rPr>
                <w:noProof/>
                <w:webHidden/>
              </w:rPr>
              <w:fldChar w:fldCharType="begin"/>
            </w:r>
            <w:r w:rsidR="001A622A">
              <w:rPr>
                <w:noProof/>
                <w:webHidden/>
              </w:rPr>
              <w:instrText xml:space="preserve"> PAGEREF _Toc18313948 \h </w:instrText>
            </w:r>
            <w:r w:rsidR="001A622A">
              <w:rPr>
                <w:noProof/>
                <w:webHidden/>
              </w:rPr>
            </w:r>
            <w:r w:rsidR="001A622A">
              <w:rPr>
                <w:noProof/>
                <w:webHidden/>
              </w:rPr>
              <w:fldChar w:fldCharType="separate"/>
            </w:r>
            <w:r w:rsidR="001A622A">
              <w:rPr>
                <w:noProof/>
                <w:webHidden/>
              </w:rPr>
              <w:t>25</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49" w:history="1">
            <w:r w:rsidR="001A622A" w:rsidRPr="0099349C">
              <w:rPr>
                <w:rStyle w:val="Hypertextovodkaz"/>
                <w:noProof/>
                <w:u w:color="000000"/>
              </w:rPr>
              <w:t>3.2</w:t>
            </w:r>
            <w:r w:rsidR="001A622A">
              <w:rPr>
                <w:rFonts w:asciiTheme="minorHAnsi" w:eastAsiaTheme="minorEastAsia" w:hAnsiTheme="minorHAnsi"/>
                <w:noProof/>
                <w:sz w:val="22"/>
                <w:lang w:eastAsia="cs-CZ"/>
              </w:rPr>
              <w:tab/>
            </w:r>
            <w:r w:rsidR="001A622A" w:rsidRPr="0099349C">
              <w:rPr>
                <w:rStyle w:val="Hypertextovodkaz"/>
                <w:noProof/>
                <w:u w:color="000000"/>
              </w:rPr>
              <w:t xml:space="preserve">Průběh </w:t>
            </w:r>
            <w:r w:rsidR="001A622A" w:rsidRPr="0099349C">
              <w:rPr>
                <w:rStyle w:val="Hypertextovodkaz"/>
                <w:noProof/>
              </w:rPr>
              <w:t>exekuce</w:t>
            </w:r>
            <w:r w:rsidR="001A622A" w:rsidRPr="0099349C">
              <w:rPr>
                <w:rStyle w:val="Hypertextovodkaz"/>
                <w:noProof/>
                <w:u w:color="000000"/>
              </w:rPr>
              <w:t xml:space="preserve"> správních rozhodnutí</w:t>
            </w:r>
            <w:r w:rsidR="001A622A">
              <w:rPr>
                <w:noProof/>
                <w:webHidden/>
              </w:rPr>
              <w:tab/>
            </w:r>
            <w:r w:rsidR="001A622A">
              <w:rPr>
                <w:noProof/>
                <w:webHidden/>
              </w:rPr>
              <w:fldChar w:fldCharType="begin"/>
            </w:r>
            <w:r w:rsidR="001A622A">
              <w:rPr>
                <w:noProof/>
                <w:webHidden/>
              </w:rPr>
              <w:instrText xml:space="preserve"> PAGEREF _Toc18313949 \h </w:instrText>
            </w:r>
            <w:r w:rsidR="001A622A">
              <w:rPr>
                <w:noProof/>
                <w:webHidden/>
              </w:rPr>
            </w:r>
            <w:r w:rsidR="001A622A">
              <w:rPr>
                <w:noProof/>
                <w:webHidden/>
              </w:rPr>
              <w:fldChar w:fldCharType="separate"/>
            </w:r>
            <w:r w:rsidR="001A622A">
              <w:rPr>
                <w:noProof/>
                <w:webHidden/>
              </w:rPr>
              <w:t>27</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0" w:history="1">
            <w:r w:rsidR="001A622A" w:rsidRPr="0099349C">
              <w:rPr>
                <w:rStyle w:val="Hypertextovodkaz"/>
                <w:noProof/>
                <w:u w:color="000000"/>
              </w:rPr>
              <w:t>3.2.1</w:t>
            </w:r>
            <w:r w:rsidR="001A622A">
              <w:rPr>
                <w:rFonts w:asciiTheme="minorHAnsi" w:eastAsiaTheme="minorEastAsia" w:hAnsiTheme="minorHAnsi"/>
                <w:noProof/>
                <w:sz w:val="22"/>
                <w:lang w:eastAsia="cs-CZ"/>
              </w:rPr>
              <w:tab/>
            </w:r>
            <w:r w:rsidR="001A622A" w:rsidRPr="0099349C">
              <w:rPr>
                <w:rStyle w:val="Hypertextovodkaz"/>
                <w:noProof/>
                <w:u w:color="000000"/>
              </w:rPr>
              <w:t xml:space="preserve">Exekuce na </w:t>
            </w:r>
            <w:r w:rsidR="001A622A" w:rsidRPr="0099349C">
              <w:rPr>
                <w:rStyle w:val="Hypertextovodkaz"/>
                <w:noProof/>
              </w:rPr>
              <w:t>peněžité</w:t>
            </w:r>
            <w:r w:rsidR="001A622A" w:rsidRPr="0099349C">
              <w:rPr>
                <w:rStyle w:val="Hypertextovodkaz"/>
                <w:noProof/>
                <w:u w:color="000000"/>
                <w:lang w:val="fr-FR"/>
              </w:rPr>
              <w:t xml:space="preserve"> </w:t>
            </w:r>
            <w:r w:rsidR="001A622A" w:rsidRPr="0099349C">
              <w:rPr>
                <w:rStyle w:val="Hypertextovodkaz"/>
                <w:noProof/>
                <w:u w:color="000000"/>
              </w:rPr>
              <w:t>plnění</w:t>
            </w:r>
            <w:r w:rsidR="001A622A">
              <w:rPr>
                <w:noProof/>
                <w:webHidden/>
              </w:rPr>
              <w:tab/>
            </w:r>
            <w:r w:rsidR="001A622A">
              <w:rPr>
                <w:noProof/>
                <w:webHidden/>
              </w:rPr>
              <w:fldChar w:fldCharType="begin"/>
            </w:r>
            <w:r w:rsidR="001A622A">
              <w:rPr>
                <w:noProof/>
                <w:webHidden/>
              </w:rPr>
              <w:instrText xml:space="preserve"> PAGEREF _Toc18313950 \h </w:instrText>
            </w:r>
            <w:r w:rsidR="001A622A">
              <w:rPr>
                <w:noProof/>
                <w:webHidden/>
              </w:rPr>
            </w:r>
            <w:r w:rsidR="001A622A">
              <w:rPr>
                <w:noProof/>
                <w:webHidden/>
              </w:rPr>
              <w:fldChar w:fldCharType="separate"/>
            </w:r>
            <w:r w:rsidR="001A622A">
              <w:rPr>
                <w:noProof/>
                <w:webHidden/>
              </w:rPr>
              <w:t>27</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1" w:history="1">
            <w:r w:rsidR="001A622A" w:rsidRPr="0099349C">
              <w:rPr>
                <w:rStyle w:val="Hypertextovodkaz"/>
                <w:rFonts w:eastAsia="Cambria" w:cs="Cambria"/>
                <w:noProof/>
              </w:rPr>
              <w:t>3.1.1</w:t>
            </w:r>
            <w:r w:rsidR="001A622A">
              <w:rPr>
                <w:rFonts w:asciiTheme="minorHAnsi" w:eastAsiaTheme="minorEastAsia" w:hAnsiTheme="minorHAnsi"/>
                <w:noProof/>
                <w:sz w:val="22"/>
                <w:lang w:eastAsia="cs-CZ"/>
              </w:rPr>
              <w:tab/>
            </w:r>
            <w:r w:rsidR="001A622A" w:rsidRPr="0099349C">
              <w:rPr>
                <w:rStyle w:val="Hypertextovodkaz"/>
                <w:noProof/>
                <w:u w:color="000000"/>
              </w:rPr>
              <w:t>Exekuce na nepeněžit</w:t>
            </w:r>
            <w:r w:rsidR="001A622A" w:rsidRPr="0099349C">
              <w:rPr>
                <w:rStyle w:val="Hypertextovodkaz"/>
                <w:noProof/>
                <w:u w:color="000000"/>
                <w:lang w:val="fr-FR"/>
              </w:rPr>
              <w:t xml:space="preserve">é </w:t>
            </w:r>
            <w:r w:rsidR="001A622A" w:rsidRPr="0099349C">
              <w:rPr>
                <w:rStyle w:val="Hypertextovodkaz"/>
                <w:noProof/>
                <w:u w:color="000000"/>
              </w:rPr>
              <w:t>plnění</w:t>
            </w:r>
            <w:r w:rsidR="001A622A">
              <w:rPr>
                <w:noProof/>
                <w:webHidden/>
              </w:rPr>
              <w:tab/>
            </w:r>
            <w:r w:rsidR="001A622A">
              <w:rPr>
                <w:noProof/>
                <w:webHidden/>
              </w:rPr>
              <w:fldChar w:fldCharType="begin"/>
            </w:r>
            <w:r w:rsidR="001A622A">
              <w:rPr>
                <w:noProof/>
                <w:webHidden/>
              </w:rPr>
              <w:instrText xml:space="preserve"> PAGEREF _Toc18313951 \h </w:instrText>
            </w:r>
            <w:r w:rsidR="001A622A">
              <w:rPr>
                <w:noProof/>
                <w:webHidden/>
              </w:rPr>
            </w:r>
            <w:r w:rsidR="001A622A">
              <w:rPr>
                <w:noProof/>
                <w:webHidden/>
              </w:rPr>
              <w:fldChar w:fldCharType="separate"/>
            </w:r>
            <w:r w:rsidR="001A622A">
              <w:rPr>
                <w:noProof/>
                <w:webHidden/>
              </w:rPr>
              <w:t>30</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52" w:history="1">
            <w:r w:rsidR="001A622A" w:rsidRPr="0099349C">
              <w:rPr>
                <w:rStyle w:val="Hypertextovodkaz"/>
                <w:rFonts w:eastAsia="Cambria" w:cs="Cambria"/>
                <w:noProof/>
              </w:rPr>
              <w:t>3.2</w:t>
            </w:r>
            <w:r w:rsidR="001A622A">
              <w:rPr>
                <w:rFonts w:asciiTheme="minorHAnsi" w:eastAsiaTheme="minorEastAsia" w:hAnsiTheme="minorHAnsi"/>
                <w:noProof/>
                <w:sz w:val="22"/>
                <w:lang w:eastAsia="cs-CZ"/>
              </w:rPr>
              <w:tab/>
            </w:r>
            <w:r w:rsidR="001A622A" w:rsidRPr="0099349C">
              <w:rPr>
                <w:rStyle w:val="Hypertextovodkaz"/>
                <w:noProof/>
                <w:u w:color="000000"/>
              </w:rPr>
              <w:t>Způsoby provedení exekuce správních rozhodnutí</w:t>
            </w:r>
            <w:r w:rsidR="001A622A">
              <w:rPr>
                <w:noProof/>
                <w:webHidden/>
              </w:rPr>
              <w:tab/>
            </w:r>
            <w:r w:rsidR="001A622A">
              <w:rPr>
                <w:noProof/>
                <w:webHidden/>
              </w:rPr>
              <w:fldChar w:fldCharType="begin"/>
            </w:r>
            <w:r w:rsidR="001A622A">
              <w:rPr>
                <w:noProof/>
                <w:webHidden/>
              </w:rPr>
              <w:instrText xml:space="preserve"> PAGEREF _Toc18313952 \h </w:instrText>
            </w:r>
            <w:r w:rsidR="001A622A">
              <w:rPr>
                <w:noProof/>
                <w:webHidden/>
              </w:rPr>
            </w:r>
            <w:r w:rsidR="001A622A">
              <w:rPr>
                <w:noProof/>
                <w:webHidden/>
              </w:rPr>
              <w:fldChar w:fldCharType="separate"/>
            </w:r>
            <w:r w:rsidR="001A622A">
              <w:rPr>
                <w:noProof/>
                <w:webHidden/>
              </w:rPr>
              <w:t>33</w:t>
            </w:r>
            <w:r w:rsidR="001A622A">
              <w:rPr>
                <w:noProof/>
                <w:webHidden/>
              </w:rPr>
              <w:fldChar w:fldCharType="end"/>
            </w:r>
          </w:hyperlink>
        </w:p>
        <w:p w:rsidR="001A622A" w:rsidRDefault="00AE0061">
          <w:pPr>
            <w:pStyle w:val="Obsah1"/>
            <w:tabs>
              <w:tab w:val="left" w:pos="1100"/>
            </w:tabs>
            <w:rPr>
              <w:rFonts w:asciiTheme="minorHAnsi" w:eastAsiaTheme="minorEastAsia" w:hAnsiTheme="minorHAnsi"/>
              <w:noProof/>
              <w:sz w:val="22"/>
              <w:lang w:eastAsia="cs-CZ"/>
            </w:rPr>
          </w:pPr>
          <w:hyperlink w:anchor="_Toc18313953" w:history="1">
            <w:r w:rsidR="001A622A" w:rsidRPr="0099349C">
              <w:rPr>
                <w:rStyle w:val="Hypertextovodkaz"/>
                <w:rFonts w:eastAsia="Cambria" w:cs="Cambria"/>
                <w:noProof/>
              </w:rPr>
              <w:t>4</w:t>
            </w:r>
            <w:r w:rsidR="001A622A">
              <w:rPr>
                <w:rFonts w:asciiTheme="minorHAnsi" w:eastAsiaTheme="minorEastAsia" w:hAnsiTheme="minorHAnsi"/>
                <w:noProof/>
                <w:sz w:val="22"/>
                <w:lang w:eastAsia="cs-CZ"/>
              </w:rPr>
              <w:tab/>
            </w:r>
            <w:r w:rsidR="001A622A" w:rsidRPr="0099349C">
              <w:rPr>
                <w:rStyle w:val="Hypertextovodkaz"/>
                <w:noProof/>
                <w:u w:color="000000"/>
              </w:rPr>
              <w:t>Exekuce soudní</w:t>
            </w:r>
            <w:r w:rsidR="001A622A">
              <w:rPr>
                <w:noProof/>
                <w:webHidden/>
              </w:rPr>
              <w:tab/>
            </w:r>
            <w:r w:rsidR="001A622A">
              <w:rPr>
                <w:noProof/>
                <w:webHidden/>
              </w:rPr>
              <w:fldChar w:fldCharType="begin"/>
            </w:r>
            <w:r w:rsidR="001A622A">
              <w:rPr>
                <w:noProof/>
                <w:webHidden/>
              </w:rPr>
              <w:instrText xml:space="preserve"> PAGEREF _Toc18313953 \h </w:instrText>
            </w:r>
            <w:r w:rsidR="001A622A">
              <w:rPr>
                <w:noProof/>
                <w:webHidden/>
              </w:rPr>
            </w:r>
            <w:r w:rsidR="001A622A">
              <w:rPr>
                <w:noProof/>
                <w:webHidden/>
              </w:rPr>
              <w:fldChar w:fldCharType="separate"/>
            </w:r>
            <w:r w:rsidR="001A622A">
              <w:rPr>
                <w:noProof/>
                <w:webHidden/>
              </w:rPr>
              <w:t>36</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54" w:history="1">
            <w:r w:rsidR="001A622A" w:rsidRPr="0099349C">
              <w:rPr>
                <w:rStyle w:val="Hypertextovodkaz"/>
                <w:rFonts w:eastAsia="Cambria" w:cs="Cambria"/>
                <w:noProof/>
              </w:rPr>
              <w:t>4.1</w:t>
            </w:r>
            <w:r w:rsidR="001A622A">
              <w:rPr>
                <w:rFonts w:asciiTheme="minorHAnsi" w:eastAsiaTheme="minorEastAsia" w:hAnsiTheme="minorHAnsi"/>
                <w:noProof/>
                <w:sz w:val="22"/>
                <w:lang w:eastAsia="cs-CZ"/>
              </w:rPr>
              <w:tab/>
            </w:r>
            <w:r w:rsidR="001A622A" w:rsidRPr="0099349C">
              <w:rPr>
                <w:rStyle w:val="Hypertextovodkaz"/>
                <w:noProof/>
                <w:u w:color="000000"/>
              </w:rPr>
              <w:t>Exekuční titul</w:t>
            </w:r>
            <w:r w:rsidR="001A622A">
              <w:rPr>
                <w:noProof/>
                <w:webHidden/>
              </w:rPr>
              <w:tab/>
            </w:r>
            <w:r w:rsidR="001A622A">
              <w:rPr>
                <w:noProof/>
                <w:webHidden/>
              </w:rPr>
              <w:fldChar w:fldCharType="begin"/>
            </w:r>
            <w:r w:rsidR="001A622A">
              <w:rPr>
                <w:noProof/>
                <w:webHidden/>
              </w:rPr>
              <w:instrText xml:space="preserve"> PAGEREF _Toc18313954 \h </w:instrText>
            </w:r>
            <w:r w:rsidR="001A622A">
              <w:rPr>
                <w:noProof/>
                <w:webHidden/>
              </w:rPr>
            </w:r>
            <w:r w:rsidR="001A622A">
              <w:rPr>
                <w:noProof/>
                <w:webHidden/>
              </w:rPr>
              <w:fldChar w:fldCharType="separate"/>
            </w:r>
            <w:r w:rsidR="001A622A">
              <w:rPr>
                <w:noProof/>
                <w:webHidden/>
              </w:rPr>
              <w:t>36</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5" w:history="1">
            <w:r w:rsidR="001A622A" w:rsidRPr="0099349C">
              <w:rPr>
                <w:rStyle w:val="Hypertextovodkaz"/>
                <w:rFonts w:eastAsia="Cambria" w:cs="Cambria"/>
                <w:noProof/>
              </w:rPr>
              <w:t>4.1.1</w:t>
            </w:r>
            <w:r w:rsidR="001A622A">
              <w:rPr>
                <w:rFonts w:asciiTheme="minorHAnsi" w:eastAsiaTheme="minorEastAsia" w:hAnsiTheme="minorHAnsi"/>
                <w:noProof/>
                <w:sz w:val="22"/>
                <w:lang w:eastAsia="cs-CZ"/>
              </w:rPr>
              <w:tab/>
            </w:r>
            <w:r w:rsidR="001A622A" w:rsidRPr="0099349C">
              <w:rPr>
                <w:rStyle w:val="Hypertextovodkaz"/>
                <w:noProof/>
                <w:u w:color="000000"/>
              </w:rPr>
              <w:t>Exekuční titul dle obč</w:t>
            </w:r>
            <w:r w:rsidR="001A622A" w:rsidRPr="0099349C">
              <w:rPr>
                <w:rStyle w:val="Hypertextovodkaz"/>
                <w:noProof/>
                <w:u w:color="000000"/>
                <w:lang w:val="da-DK"/>
              </w:rPr>
              <w:t>ansk</w:t>
            </w:r>
            <w:r w:rsidR="001A622A" w:rsidRPr="0099349C">
              <w:rPr>
                <w:rStyle w:val="Hypertextovodkaz"/>
                <w:noProof/>
                <w:u w:color="000000"/>
                <w:lang w:val="fr-FR"/>
              </w:rPr>
              <w:t>é</w:t>
            </w:r>
            <w:r w:rsidR="001A622A" w:rsidRPr="0099349C">
              <w:rPr>
                <w:rStyle w:val="Hypertextovodkaz"/>
                <w:noProof/>
                <w:u w:color="000000"/>
              </w:rPr>
              <w:t>ho soudního řádu</w:t>
            </w:r>
            <w:r w:rsidR="001A622A">
              <w:rPr>
                <w:noProof/>
                <w:webHidden/>
              </w:rPr>
              <w:tab/>
            </w:r>
            <w:r w:rsidR="001A622A">
              <w:rPr>
                <w:noProof/>
                <w:webHidden/>
              </w:rPr>
              <w:fldChar w:fldCharType="begin"/>
            </w:r>
            <w:r w:rsidR="001A622A">
              <w:rPr>
                <w:noProof/>
                <w:webHidden/>
              </w:rPr>
              <w:instrText xml:space="preserve"> PAGEREF _Toc18313955 \h </w:instrText>
            </w:r>
            <w:r w:rsidR="001A622A">
              <w:rPr>
                <w:noProof/>
                <w:webHidden/>
              </w:rPr>
            </w:r>
            <w:r w:rsidR="001A622A">
              <w:rPr>
                <w:noProof/>
                <w:webHidden/>
              </w:rPr>
              <w:fldChar w:fldCharType="separate"/>
            </w:r>
            <w:r w:rsidR="001A622A">
              <w:rPr>
                <w:noProof/>
                <w:webHidden/>
              </w:rPr>
              <w:t>37</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6" w:history="1">
            <w:r w:rsidR="001A622A" w:rsidRPr="0099349C">
              <w:rPr>
                <w:rStyle w:val="Hypertextovodkaz"/>
                <w:rFonts w:eastAsia="Cambria" w:cs="Cambria"/>
                <w:noProof/>
              </w:rPr>
              <w:t>4.1.2</w:t>
            </w:r>
            <w:r w:rsidR="001A622A">
              <w:rPr>
                <w:rFonts w:asciiTheme="minorHAnsi" w:eastAsiaTheme="minorEastAsia" w:hAnsiTheme="minorHAnsi"/>
                <w:noProof/>
                <w:sz w:val="22"/>
                <w:lang w:eastAsia="cs-CZ"/>
              </w:rPr>
              <w:tab/>
            </w:r>
            <w:r w:rsidR="001A622A" w:rsidRPr="0099349C">
              <w:rPr>
                <w:rStyle w:val="Hypertextovodkaz"/>
                <w:noProof/>
                <w:u w:color="000000"/>
              </w:rPr>
              <w:t>Exekuční titul dle exekučního řádu</w:t>
            </w:r>
            <w:r w:rsidR="001A622A">
              <w:rPr>
                <w:noProof/>
                <w:webHidden/>
              </w:rPr>
              <w:tab/>
            </w:r>
            <w:r w:rsidR="001A622A">
              <w:rPr>
                <w:noProof/>
                <w:webHidden/>
              </w:rPr>
              <w:fldChar w:fldCharType="begin"/>
            </w:r>
            <w:r w:rsidR="001A622A">
              <w:rPr>
                <w:noProof/>
                <w:webHidden/>
              </w:rPr>
              <w:instrText xml:space="preserve"> PAGEREF _Toc18313956 \h </w:instrText>
            </w:r>
            <w:r w:rsidR="001A622A">
              <w:rPr>
                <w:noProof/>
                <w:webHidden/>
              </w:rPr>
            </w:r>
            <w:r w:rsidR="001A622A">
              <w:rPr>
                <w:noProof/>
                <w:webHidden/>
              </w:rPr>
              <w:fldChar w:fldCharType="separate"/>
            </w:r>
            <w:r w:rsidR="001A622A">
              <w:rPr>
                <w:noProof/>
                <w:webHidden/>
              </w:rPr>
              <w:t>39</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57" w:history="1">
            <w:r w:rsidR="001A622A" w:rsidRPr="0099349C">
              <w:rPr>
                <w:rStyle w:val="Hypertextovodkaz"/>
                <w:rFonts w:eastAsia="Cambria" w:cs="Cambria"/>
                <w:noProof/>
              </w:rPr>
              <w:t>4.2</w:t>
            </w:r>
            <w:r w:rsidR="001A622A">
              <w:rPr>
                <w:rFonts w:asciiTheme="minorHAnsi" w:eastAsiaTheme="minorEastAsia" w:hAnsiTheme="minorHAnsi"/>
                <w:noProof/>
                <w:sz w:val="22"/>
                <w:lang w:eastAsia="cs-CZ"/>
              </w:rPr>
              <w:tab/>
            </w:r>
            <w:r w:rsidR="001A622A" w:rsidRPr="0099349C">
              <w:rPr>
                <w:rStyle w:val="Hypertextovodkaz"/>
                <w:noProof/>
                <w:u w:color="000000"/>
              </w:rPr>
              <w:t>Exekuční řízení</w:t>
            </w:r>
            <w:r w:rsidR="001A622A">
              <w:rPr>
                <w:noProof/>
                <w:webHidden/>
              </w:rPr>
              <w:tab/>
            </w:r>
            <w:r w:rsidR="001A622A">
              <w:rPr>
                <w:noProof/>
                <w:webHidden/>
              </w:rPr>
              <w:fldChar w:fldCharType="begin"/>
            </w:r>
            <w:r w:rsidR="001A622A">
              <w:rPr>
                <w:noProof/>
                <w:webHidden/>
              </w:rPr>
              <w:instrText xml:space="preserve"> PAGEREF _Toc18313957 \h </w:instrText>
            </w:r>
            <w:r w:rsidR="001A622A">
              <w:rPr>
                <w:noProof/>
                <w:webHidden/>
              </w:rPr>
            </w:r>
            <w:r w:rsidR="001A622A">
              <w:rPr>
                <w:noProof/>
                <w:webHidden/>
              </w:rPr>
              <w:fldChar w:fldCharType="separate"/>
            </w:r>
            <w:r w:rsidR="001A622A">
              <w:rPr>
                <w:noProof/>
                <w:webHidden/>
              </w:rPr>
              <w:t>41</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8" w:history="1">
            <w:r w:rsidR="001A622A" w:rsidRPr="0099349C">
              <w:rPr>
                <w:rStyle w:val="Hypertextovodkaz"/>
                <w:rFonts w:eastAsia="Cambria" w:cs="Cambria"/>
                <w:noProof/>
              </w:rPr>
              <w:t>4.2.1</w:t>
            </w:r>
            <w:r w:rsidR="001A622A">
              <w:rPr>
                <w:rFonts w:asciiTheme="minorHAnsi" w:eastAsiaTheme="minorEastAsia" w:hAnsiTheme="minorHAnsi"/>
                <w:noProof/>
                <w:sz w:val="22"/>
                <w:lang w:eastAsia="cs-CZ"/>
              </w:rPr>
              <w:tab/>
            </w:r>
            <w:r w:rsidR="001A622A" w:rsidRPr="0099349C">
              <w:rPr>
                <w:rStyle w:val="Hypertextovodkaz"/>
                <w:noProof/>
                <w:u w:color="000000"/>
              </w:rPr>
              <w:t>Soudní exekuce nařízená a provedená soudem</w:t>
            </w:r>
            <w:r w:rsidR="001A622A">
              <w:rPr>
                <w:noProof/>
                <w:webHidden/>
              </w:rPr>
              <w:tab/>
            </w:r>
            <w:r w:rsidR="001A622A">
              <w:rPr>
                <w:noProof/>
                <w:webHidden/>
              </w:rPr>
              <w:fldChar w:fldCharType="begin"/>
            </w:r>
            <w:r w:rsidR="001A622A">
              <w:rPr>
                <w:noProof/>
                <w:webHidden/>
              </w:rPr>
              <w:instrText xml:space="preserve"> PAGEREF _Toc18313958 \h </w:instrText>
            </w:r>
            <w:r w:rsidR="001A622A">
              <w:rPr>
                <w:noProof/>
                <w:webHidden/>
              </w:rPr>
            </w:r>
            <w:r w:rsidR="001A622A">
              <w:rPr>
                <w:noProof/>
                <w:webHidden/>
              </w:rPr>
              <w:fldChar w:fldCharType="separate"/>
            </w:r>
            <w:r w:rsidR="001A622A">
              <w:rPr>
                <w:noProof/>
                <w:webHidden/>
              </w:rPr>
              <w:t>41</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59" w:history="1">
            <w:r w:rsidR="001A622A" w:rsidRPr="0099349C">
              <w:rPr>
                <w:rStyle w:val="Hypertextovodkaz"/>
                <w:rFonts w:eastAsia="Cambria" w:cs="Cambria"/>
                <w:noProof/>
              </w:rPr>
              <w:t>4.2.2</w:t>
            </w:r>
            <w:r w:rsidR="001A622A">
              <w:rPr>
                <w:rFonts w:asciiTheme="minorHAnsi" w:eastAsiaTheme="minorEastAsia" w:hAnsiTheme="minorHAnsi"/>
                <w:noProof/>
                <w:sz w:val="22"/>
                <w:lang w:eastAsia="cs-CZ"/>
              </w:rPr>
              <w:tab/>
            </w:r>
            <w:r w:rsidR="001A622A" w:rsidRPr="0099349C">
              <w:rPr>
                <w:rStyle w:val="Hypertextovodkaz"/>
                <w:noProof/>
                <w:u w:color="000000"/>
              </w:rPr>
              <w:t>Soudní exekuce nařízená soudem a provedená exekutorem</w:t>
            </w:r>
            <w:r w:rsidR="001A622A">
              <w:rPr>
                <w:noProof/>
                <w:webHidden/>
              </w:rPr>
              <w:tab/>
            </w:r>
            <w:r w:rsidR="001A622A">
              <w:rPr>
                <w:noProof/>
                <w:webHidden/>
              </w:rPr>
              <w:fldChar w:fldCharType="begin"/>
            </w:r>
            <w:r w:rsidR="001A622A">
              <w:rPr>
                <w:noProof/>
                <w:webHidden/>
              </w:rPr>
              <w:instrText xml:space="preserve"> PAGEREF _Toc18313959 \h </w:instrText>
            </w:r>
            <w:r w:rsidR="001A622A">
              <w:rPr>
                <w:noProof/>
                <w:webHidden/>
              </w:rPr>
            </w:r>
            <w:r w:rsidR="001A622A">
              <w:rPr>
                <w:noProof/>
                <w:webHidden/>
              </w:rPr>
              <w:fldChar w:fldCharType="separate"/>
            </w:r>
            <w:r w:rsidR="001A622A">
              <w:rPr>
                <w:noProof/>
                <w:webHidden/>
              </w:rPr>
              <w:t>43</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0" w:history="1">
            <w:r w:rsidR="001A622A" w:rsidRPr="0099349C">
              <w:rPr>
                <w:rStyle w:val="Hypertextovodkaz"/>
                <w:noProof/>
                <w:u w:color="000000"/>
              </w:rPr>
              <w:t>4.2.3</w:t>
            </w:r>
            <w:r w:rsidR="001A622A">
              <w:rPr>
                <w:rFonts w:asciiTheme="minorHAnsi" w:eastAsiaTheme="minorEastAsia" w:hAnsiTheme="minorHAnsi"/>
                <w:noProof/>
                <w:sz w:val="22"/>
                <w:lang w:eastAsia="cs-CZ"/>
              </w:rPr>
              <w:tab/>
            </w:r>
            <w:r w:rsidR="001A622A" w:rsidRPr="0099349C">
              <w:rPr>
                <w:rStyle w:val="Hypertextovodkaz"/>
                <w:noProof/>
                <w:u w:color="000000"/>
              </w:rPr>
              <w:t xml:space="preserve">Způsoby </w:t>
            </w:r>
            <w:r w:rsidR="001A622A" w:rsidRPr="0099349C">
              <w:rPr>
                <w:rStyle w:val="Hypertextovodkaz"/>
                <w:noProof/>
              </w:rPr>
              <w:t>provedení</w:t>
            </w:r>
            <w:r w:rsidR="001A622A" w:rsidRPr="0099349C">
              <w:rPr>
                <w:rStyle w:val="Hypertextovodkaz"/>
                <w:noProof/>
                <w:u w:color="000000"/>
              </w:rPr>
              <w:t xml:space="preserve"> exekuce</w:t>
            </w:r>
            <w:r w:rsidR="001A622A">
              <w:rPr>
                <w:noProof/>
                <w:webHidden/>
              </w:rPr>
              <w:tab/>
            </w:r>
            <w:r w:rsidR="001A622A">
              <w:rPr>
                <w:noProof/>
                <w:webHidden/>
              </w:rPr>
              <w:fldChar w:fldCharType="begin"/>
            </w:r>
            <w:r w:rsidR="001A622A">
              <w:rPr>
                <w:noProof/>
                <w:webHidden/>
              </w:rPr>
              <w:instrText xml:space="preserve"> PAGEREF _Toc18313960 \h </w:instrText>
            </w:r>
            <w:r w:rsidR="001A622A">
              <w:rPr>
                <w:noProof/>
                <w:webHidden/>
              </w:rPr>
            </w:r>
            <w:r w:rsidR="001A622A">
              <w:rPr>
                <w:noProof/>
                <w:webHidden/>
              </w:rPr>
              <w:fldChar w:fldCharType="separate"/>
            </w:r>
            <w:r w:rsidR="001A622A">
              <w:rPr>
                <w:noProof/>
                <w:webHidden/>
              </w:rPr>
              <w:t>45</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61" w:history="1">
            <w:r w:rsidR="001A622A" w:rsidRPr="0099349C">
              <w:rPr>
                <w:rStyle w:val="Hypertextovodkaz"/>
                <w:noProof/>
              </w:rPr>
              <w:t>4.3</w:t>
            </w:r>
            <w:r w:rsidR="001A622A">
              <w:rPr>
                <w:rFonts w:asciiTheme="minorHAnsi" w:eastAsiaTheme="minorEastAsia" w:hAnsiTheme="minorHAnsi"/>
                <w:noProof/>
                <w:sz w:val="22"/>
                <w:lang w:eastAsia="cs-CZ"/>
              </w:rPr>
              <w:tab/>
            </w:r>
            <w:r w:rsidR="001A622A" w:rsidRPr="0099349C">
              <w:rPr>
                <w:rStyle w:val="Hypertextovodkaz"/>
                <w:noProof/>
              </w:rPr>
              <w:t>Soudní</w:t>
            </w:r>
            <w:r w:rsidR="001A622A" w:rsidRPr="0099349C">
              <w:rPr>
                <w:rStyle w:val="Hypertextovodkaz"/>
                <w:noProof/>
                <w:u w:color="000000"/>
              </w:rPr>
              <w:t xml:space="preserve"> exekutoř</w:t>
            </w:r>
            <w:r w:rsidR="001A622A" w:rsidRPr="0099349C">
              <w:rPr>
                <w:rStyle w:val="Hypertextovodkaz"/>
                <w:noProof/>
                <w:u w:color="000000"/>
                <w:lang w:val="pt-PT"/>
              </w:rPr>
              <w:t>i a exeku</w:t>
            </w:r>
            <w:r w:rsidR="001A622A" w:rsidRPr="0099349C">
              <w:rPr>
                <w:rStyle w:val="Hypertextovodkaz"/>
                <w:noProof/>
                <w:u w:color="000000"/>
              </w:rPr>
              <w:t>ční činnost</w:t>
            </w:r>
            <w:r w:rsidR="001A622A">
              <w:rPr>
                <w:noProof/>
                <w:webHidden/>
              </w:rPr>
              <w:tab/>
            </w:r>
            <w:r w:rsidR="001A622A">
              <w:rPr>
                <w:noProof/>
                <w:webHidden/>
              </w:rPr>
              <w:fldChar w:fldCharType="begin"/>
            </w:r>
            <w:r w:rsidR="001A622A">
              <w:rPr>
                <w:noProof/>
                <w:webHidden/>
              </w:rPr>
              <w:instrText xml:space="preserve"> PAGEREF _Toc18313961 \h </w:instrText>
            </w:r>
            <w:r w:rsidR="001A622A">
              <w:rPr>
                <w:noProof/>
                <w:webHidden/>
              </w:rPr>
            </w:r>
            <w:r w:rsidR="001A622A">
              <w:rPr>
                <w:noProof/>
                <w:webHidden/>
              </w:rPr>
              <w:fldChar w:fldCharType="separate"/>
            </w:r>
            <w:r w:rsidR="001A622A">
              <w:rPr>
                <w:noProof/>
                <w:webHidden/>
              </w:rPr>
              <w:t>47</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2" w:history="1">
            <w:r w:rsidR="001A622A" w:rsidRPr="0099349C">
              <w:rPr>
                <w:rStyle w:val="Hypertextovodkaz"/>
                <w:noProof/>
              </w:rPr>
              <w:t>4.3.1</w:t>
            </w:r>
            <w:r w:rsidR="001A622A">
              <w:rPr>
                <w:rFonts w:asciiTheme="minorHAnsi" w:eastAsiaTheme="minorEastAsia" w:hAnsiTheme="minorHAnsi"/>
                <w:noProof/>
                <w:sz w:val="22"/>
                <w:lang w:eastAsia="cs-CZ"/>
              </w:rPr>
              <w:tab/>
            </w:r>
            <w:r w:rsidR="001A622A" w:rsidRPr="0099349C">
              <w:rPr>
                <w:rStyle w:val="Hypertextovodkaz"/>
                <w:noProof/>
              </w:rPr>
              <w:t>Soudní</w:t>
            </w:r>
            <w:r w:rsidR="001A622A" w:rsidRPr="0099349C">
              <w:rPr>
                <w:rStyle w:val="Hypertextovodkaz"/>
                <w:noProof/>
                <w:u w:color="000000"/>
              </w:rPr>
              <w:t xml:space="preserve"> exekutor</w:t>
            </w:r>
            <w:r w:rsidR="001A622A">
              <w:rPr>
                <w:noProof/>
                <w:webHidden/>
              </w:rPr>
              <w:tab/>
            </w:r>
            <w:r w:rsidR="001A622A">
              <w:rPr>
                <w:noProof/>
                <w:webHidden/>
              </w:rPr>
              <w:fldChar w:fldCharType="begin"/>
            </w:r>
            <w:r w:rsidR="001A622A">
              <w:rPr>
                <w:noProof/>
                <w:webHidden/>
              </w:rPr>
              <w:instrText xml:space="preserve"> PAGEREF _Toc18313962 \h </w:instrText>
            </w:r>
            <w:r w:rsidR="001A622A">
              <w:rPr>
                <w:noProof/>
                <w:webHidden/>
              </w:rPr>
            </w:r>
            <w:r w:rsidR="001A622A">
              <w:rPr>
                <w:noProof/>
                <w:webHidden/>
              </w:rPr>
              <w:fldChar w:fldCharType="separate"/>
            </w:r>
            <w:r w:rsidR="001A622A">
              <w:rPr>
                <w:noProof/>
                <w:webHidden/>
              </w:rPr>
              <w:t>47</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3" w:history="1">
            <w:r w:rsidR="001A622A" w:rsidRPr="0099349C">
              <w:rPr>
                <w:rStyle w:val="Hypertextovodkaz"/>
                <w:noProof/>
                <w:u w:color="000000"/>
              </w:rPr>
              <w:t>4.3.2</w:t>
            </w:r>
            <w:r w:rsidR="001A622A">
              <w:rPr>
                <w:rFonts w:asciiTheme="minorHAnsi" w:eastAsiaTheme="minorEastAsia" w:hAnsiTheme="minorHAnsi"/>
                <w:noProof/>
                <w:sz w:val="22"/>
                <w:lang w:eastAsia="cs-CZ"/>
              </w:rPr>
              <w:tab/>
            </w:r>
            <w:r w:rsidR="001A622A" w:rsidRPr="0099349C">
              <w:rPr>
                <w:rStyle w:val="Hypertextovodkaz"/>
                <w:noProof/>
                <w:u w:color="000000"/>
              </w:rPr>
              <w:t xml:space="preserve">Organizace soukromých soudních </w:t>
            </w:r>
            <w:r w:rsidR="001A622A" w:rsidRPr="0099349C">
              <w:rPr>
                <w:rStyle w:val="Hypertextovodkaz"/>
                <w:noProof/>
              </w:rPr>
              <w:t>exekutorů</w:t>
            </w:r>
            <w:r w:rsidR="001A622A">
              <w:rPr>
                <w:noProof/>
                <w:webHidden/>
              </w:rPr>
              <w:tab/>
            </w:r>
            <w:r w:rsidR="001A622A">
              <w:rPr>
                <w:noProof/>
                <w:webHidden/>
              </w:rPr>
              <w:fldChar w:fldCharType="begin"/>
            </w:r>
            <w:r w:rsidR="001A622A">
              <w:rPr>
                <w:noProof/>
                <w:webHidden/>
              </w:rPr>
              <w:instrText xml:space="preserve"> PAGEREF _Toc18313963 \h </w:instrText>
            </w:r>
            <w:r w:rsidR="001A622A">
              <w:rPr>
                <w:noProof/>
                <w:webHidden/>
              </w:rPr>
            </w:r>
            <w:r w:rsidR="001A622A">
              <w:rPr>
                <w:noProof/>
                <w:webHidden/>
              </w:rPr>
              <w:fldChar w:fldCharType="separate"/>
            </w:r>
            <w:r w:rsidR="001A622A">
              <w:rPr>
                <w:noProof/>
                <w:webHidden/>
              </w:rPr>
              <w:t>48</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4" w:history="1">
            <w:r w:rsidR="001A622A" w:rsidRPr="0099349C">
              <w:rPr>
                <w:rStyle w:val="Hypertextovodkaz"/>
                <w:noProof/>
                <w:u w:color="000000"/>
              </w:rPr>
              <w:t>4.3.3</w:t>
            </w:r>
            <w:r w:rsidR="001A622A">
              <w:rPr>
                <w:rFonts w:asciiTheme="minorHAnsi" w:eastAsiaTheme="minorEastAsia" w:hAnsiTheme="minorHAnsi"/>
                <w:noProof/>
                <w:sz w:val="22"/>
                <w:lang w:eastAsia="cs-CZ"/>
              </w:rPr>
              <w:tab/>
            </w:r>
            <w:r w:rsidR="001A622A" w:rsidRPr="0099349C">
              <w:rPr>
                <w:rStyle w:val="Hypertextovodkaz"/>
                <w:noProof/>
                <w:u w:color="000000"/>
              </w:rPr>
              <w:t>Dohled</w:t>
            </w:r>
            <w:r w:rsidR="001A622A">
              <w:rPr>
                <w:noProof/>
                <w:webHidden/>
              </w:rPr>
              <w:tab/>
            </w:r>
            <w:r w:rsidR="001A622A">
              <w:rPr>
                <w:noProof/>
                <w:webHidden/>
              </w:rPr>
              <w:fldChar w:fldCharType="begin"/>
            </w:r>
            <w:r w:rsidR="001A622A">
              <w:rPr>
                <w:noProof/>
                <w:webHidden/>
              </w:rPr>
              <w:instrText xml:space="preserve"> PAGEREF _Toc18313964 \h </w:instrText>
            </w:r>
            <w:r w:rsidR="001A622A">
              <w:rPr>
                <w:noProof/>
                <w:webHidden/>
              </w:rPr>
            </w:r>
            <w:r w:rsidR="001A622A">
              <w:rPr>
                <w:noProof/>
                <w:webHidden/>
              </w:rPr>
              <w:fldChar w:fldCharType="separate"/>
            </w:r>
            <w:r w:rsidR="001A622A">
              <w:rPr>
                <w:noProof/>
                <w:webHidden/>
              </w:rPr>
              <w:t>56</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65" w:history="1">
            <w:r w:rsidR="001A622A" w:rsidRPr="0099349C">
              <w:rPr>
                <w:rStyle w:val="Hypertextovodkaz"/>
                <w:rFonts w:eastAsia="Times New Roman" w:cs="Times New Roman"/>
                <w:noProof/>
              </w:rPr>
              <w:t>4.4</w:t>
            </w:r>
            <w:r w:rsidR="001A622A">
              <w:rPr>
                <w:rFonts w:asciiTheme="minorHAnsi" w:eastAsiaTheme="minorEastAsia" w:hAnsiTheme="minorHAnsi"/>
                <w:noProof/>
                <w:sz w:val="22"/>
                <w:lang w:eastAsia="cs-CZ"/>
              </w:rPr>
              <w:tab/>
            </w:r>
            <w:r w:rsidR="001A622A" w:rsidRPr="0099349C">
              <w:rPr>
                <w:rStyle w:val="Hypertextovodkaz"/>
                <w:noProof/>
                <w:u w:color="000000"/>
              </w:rPr>
              <w:t>Místní příslušnost soudních exekutorů</w:t>
            </w:r>
            <w:r w:rsidR="001A622A">
              <w:rPr>
                <w:noProof/>
                <w:webHidden/>
              </w:rPr>
              <w:tab/>
            </w:r>
            <w:r w:rsidR="001A622A">
              <w:rPr>
                <w:noProof/>
                <w:webHidden/>
              </w:rPr>
              <w:fldChar w:fldCharType="begin"/>
            </w:r>
            <w:r w:rsidR="001A622A">
              <w:rPr>
                <w:noProof/>
                <w:webHidden/>
              </w:rPr>
              <w:instrText xml:space="preserve"> PAGEREF _Toc18313965 \h </w:instrText>
            </w:r>
            <w:r w:rsidR="001A622A">
              <w:rPr>
                <w:noProof/>
                <w:webHidden/>
              </w:rPr>
            </w:r>
            <w:r w:rsidR="001A622A">
              <w:rPr>
                <w:noProof/>
                <w:webHidden/>
              </w:rPr>
              <w:fldChar w:fldCharType="separate"/>
            </w:r>
            <w:r w:rsidR="001A622A">
              <w:rPr>
                <w:noProof/>
                <w:webHidden/>
              </w:rPr>
              <w:t>58</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6" w:history="1">
            <w:r w:rsidR="001A622A" w:rsidRPr="0099349C">
              <w:rPr>
                <w:rStyle w:val="Hypertextovodkaz"/>
                <w:rFonts w:eastAsia="Times New Roman" w:cs="Times New Roman"/>
                <w:noProof/>
              </w:rPr>
              <w:t>4.4.2</w:t>
            </w:r>
            <w:r w:rsidR="001A622A">
              <w:rPr>
                <w:rFonts w:asciiTheme="minorHAnsi" w:eastAsiaTheme="minorEastAsia" w:hAnsiTheme="minorHAnsi"/>
                <w:noProof/>
                <w:sz w:val="22"/>
                <w:lang w:eastAsia="cs-CZ"/>
              </w:rPr>
              <w:tab/>
            </w:r>
            <w:r w:rsidR="001A622A" w:rsidRPr="0099349C">
              <w:rPr>
                <w:rStyle w:val="Hypertextovodkaz"/>
                <w:noProof/>
                <w:u w:color="000000"/>
              </w:rPr>
              <w:t>Argumenty pro zavedení místní příslušnosti</w:t>
            </w:r>
            <w:r w:rsidR="001A622A">
              <w:rPr>
                <w:noProof/>
                <w:webHidden/>
              </w:rPr>
              <w:tab/>
            </w:r>
            <w:r w:rsidR="001A622A">
              <w:rPr>
                <w:noProof/>
                <w:webHidden/>
              </w:rPr>
              <w:fldChar w:fldCharType="begin"/>
            </w:r>
            <w:r w:rsidR="001A622A">
              <w:rPr>
                <w:noProof/>
                <w:webHidden/>
              </w:rPr>
              <w:instrText xml:space="preserve"> PAGEREF _Toc18313966 \h </w:instrText>
            </w:r>
            <w:r w:rsidR="001A622A">
              <w:rPr>
                <w:noProof/>
                <w:webHidden/>
              </w:rPr>
            </w:r>
            <w:r w:rsidR="001A622A">
              <w:rPr>
                <w:noProof/>
                <w:webHidden/>
              </w:rPr>
              <w:fldChar w:fldCharType="separate"/>
            </w:r>
            <w:r w:rsidR="001A622A">
              <w:rPr>
                <w:noProof/>
                <w:webHidden/>
              </w:rPr>
              <w:t>59</w:t>
            </w:r>
            <w:r w:rsidR="001A622A">
              <w:rPr>
                <w:noProof/>
                <w:webHidden/>
              </w:rPr>
              <w:fldChar w:fldCharType="end"/>
            </w:r>
          </w:hyperlink>
        </w:p>
        <w:p w:rsidR="001A622A" w:rsidRDefault="00AE0061">
          <w:pPr>
            <w:pStyle w:val="Obsah3"/>
            <w:tabs>
              <w:tab w:val="left" w:pos="1540"/>
            </w:tabs>
            <w:rPr>
              <w:rFonts w:asciiTheme="minorHAnsi" w:eastAsiaTheme="minorEastAsia" w:hAnsiTheme="minorHAnsi"/>
              <w:noProof/>
              <w:sz w:val="22"/>
              <w:lang w:eastAsia="cs-CZ"/>
            </w:rPr>
          </w:pPr>
          <w:hyperlink w:anchor="_Toc18313967" w:history="1">
            <w:r w:rsidR="001A622A" w:rsidRPr="0099349C">
              <w:rPr>
                <w:rStyle w:val="Hypertextovodkaz"/>
                <w:rFonts w:eastAsia="Times New Roman" w:cs="Times New Roman"/>
                <w:noProof/>
              </w:rPr>
              <w:t>4.4.3</w:t>
            </w:r>
            <w:r w:rsidR="001A622A">
              <w:rPr>
                <w:rFonts w:asciiTheme="minorHAnsi" w:eastAsiaTheme="minorEastAsia" w:hAnsiTheme="minorHAnsi"/>
                <w:noProof/>
                <w:sz w:val="22"/>
                <w:lang w:eastAsia="cs-CZ"/>
              </w:rPr>
              <w:tab/>
            </w:r>
            <w:r w:rsidR="001A622A" w:rsidRPr="0099349C">
              <w:rPr>
                <w:rStyle w:val="Hypertextovodkaz"/>
                <w:noProof/>
                <w:u w:color="000000"/>
              </w:rPr>
              <w:t>Argumenty proti zavedení místní příslušnosti</w:t>
            </w:r>
            <w:r w:rsidR="001A622A">
              <w:rPr>
                <w:noProof/>
                <w:webHidden/>
              </w:rPr>
              <w:tab/>
            </w:r>
            <w:r w:rsidR="001A622A">
              <w:rPr>
                <w:noProof/>
                <w:webHidden/>
              </w:rPr>
              <w:fldChar w:fldCharType="begin"/>
            </w:r>
            <w:r w:rsidR="001A622A">
              <w:rPr>
                <w:noProof/>
                <w:webHidden/>
              </w:rPr>
              <w:instrText xml:space="preserve"> PAGEREF _Toc18313967 \h </w:instrText>
            </w:r>
            <w:r w:rsidR="001A622A">
              <w:rPr>
                <w:noProof/>
                <w:webHidden/>
              </w:rPr>
            </w:r>
            <w:r w:rsidR="001A622A">
              <w:rPr>
                <w:noProof/>
                <w:webHidden/>
              </w:rPr>
              <w:fldChar w:fldCharType="separate"/>
            </w:r>
            <w:r w:rsidR="001A622A">
              <w:rPr>
                <w:noProof/>
                <w:webHidden/>
              </w:rPr>
              <w:t>61</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68" w:history="1">
            <w:r w:rsidR="001A622A" w:rsidRPr="0099349C">
              <w:rPr>
                <w:rStyle w:val="Hypertextovodkaz"/>
                <w:rFonts w:eastAsia="Times New Roman" w:cs="Times New Roman"/>
                <w:noProof/>
              </w:rPr>
              <w:t>4.5</w:t>
            </w:r>
            <w:r w:rsidR="001A622A">
              <w:rPr>
                <w:rFonts w:asciiTheme="minorHAnsi" w:eastAsiaTheme="minorEastAsia" w:hAnsiTheme="minorHAnsi"/>
                <w:noProof/>
                <w:sz w:val="22"/>
                <w:lang w:eastAsia="cs-CZ"/>
              </w:rPr>
              <w:tab/>
            </w:r>
            <w:r w:rsidR="001A622A" w:rsidRPr="0099349C">
              <w:rPr>
                <w:rStyle w:val="Hypertextovodkaz"/>
                <w:noProof/>
                <w:u w:color="000000"/>
              </w:rPr>
              <w:t>Koncentrace exekučního řízení</w:t>
            </w:r>
            <w:r w:rsidR="001A622A">
              <w:rPr>
                <w:noProof/>
                <w:webHidden/>
              </w:rPr>
              <w:tab/>
            </w:r>
            <w:r w:rsidR="001A622A">
              <w:rPr>
                <w:noProof/>
                <w:webHidden/>
              </w:rPr>
              <w:fldChar w:fldCharType="begin"/>
            </w:r>
            <w:r w:rsidR="001A622A">
              <w:rPr>
                <w:noProof/>
                <w:webHidden/>
              </w:rPr>
              <w:instrText xml:space="preserve"> PAGEREF _Toc18313968 \h </w:instrText>
            </w:r>
            <w:r w:rsidR="001A622A">
              <w:rPr>
                <w:noProof/>
                <w:webHidden/>
              </w:rPr>
            </w:r>
            <w:r w:rsidR="001A622A">
              <w:rPr>
                <w:noProof/>
                <w:webHidden/>
              </w:rPr>
              <w:fldChar w:fldCharType="separate"/>
            </w:r>
            <w:r w:rsidR="001A622A">
              <w:rPr>
                <w:noProof/>
                <w:webHidden/>
              </w:rPr>
              <w:t>62</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69" w:history="1">
            <w:r w:rsidR="001A622A" w:rsidRPr="0099349C">
              <w:rPr>
                <w:rStyle w:val="Hypertextovodkaz"/>
                <w:rFonts w:eastAsia="Times New Roman" w:cs="Times New Roman"/>
                <w:noProof/>
              </w:rPr>
              <w:t>4.6</w:t>
            </w:r>
            <w:r w:rsidR="001A622A">
              <w:rPr>
                <w:rFonts w:asciiTheme="minorHAnsi" w:eastAsiaTheme="minorEastAsia" w:hAnsiTheme="minorHAnsi"/>
                <w:noProof/>
                <w:sz w:val="22"/>
                <w:lang w:eastAsia="cs-CZ"/>
              </w:rPr>
              <w:tab/>
            </w:r>
            <w:r w:rsidR="001A622A" w:rsidRPr="0099349C">
              <w:rPr>
                <w:rStyle w:val="Hypertextovodkaz"/>
                <w:noProof/>
                <w:u w:color="000000"/>
              </w:rPr>
              <w:t>Rozhovor se soudním exekutorem</w:t>
            </w:r>
            <w:r w:rsidR="001A622A">
              <w:rPr>
                <w:noProof/>
                <w:webHidden/>
              </w:rPr>
              <w:tab/>
            </w:r>
            <w:r w:rsidR="001A622A">
              <w:rPr>
                <w:noProof/>
                <w:webHidden/>
              </w:rPr>
              <w:fldChar w:fldCharType="begin"/>
            </w:r>
            <w:r w:rsidR="001A622A">
              <w:rPr>
                <w:noProof/>
                <w:webHidden/>
              </w:rPr>
              <w:instrText xml:space="preserve"> PAGEREF _Toc18313969 \h </w:instrText>
            </w:r>
            <w:r w:rsidR="001A622A">
              <w:rPr>
                <w:noProof/>
                <w:webHidden/>
              </w:rPr>
            </w:r>
            <w:r w:rsidR="001A622A">
              <w:rPr>
                <w:noProof/>
                <w:webHidden/>
              </w:rPr>
              <w:fldChar w:fldCharType="separate"/>
            </w:r>
            <w:r w:rsidR="001A622A">
              <w:rPr>
                <w:noProof/>
                <w:webHidden/>
              </w:rPr>
              <w:t>63</w:t>
            </w:r>
            <w:r w:rsidR="001A622A">
              <w:rPr>
                <w:noProof/>
                <w:webHidden/>
              </w:rPr>
              <w:fldChar w:fldCharType="end"/>
            </w:r>
          </w:hyperlink>
        </w:p>
        <w:p w:rsidR="001A622A" w:rsidRDefault="00AE0061">
          <w:pPr>
            <w:pStyle w:val="Obsah1"/>
            <w:tabs>
              <w:tab w:val="left" w:pos="1100"/>
            </w:tabs>
            <w:rPr>
              <w:rFonts w:asciiTheme="minorHAnsi" w:eastAsiaTheme="minorEastAsia" w:hAnsiTheme="minorHAnsi"/>
              <w:noProof/>
              <w:sz w:val="22"/>
              <w:lang w:eastAsia="cs-CZ"/>
            </w:rPr>
          </w:pPr>
          <w:hyperlink w:anchor="_Toc18313970" w:history="1">
            <w:r w:rsidR="001A622A" w:rsidRPr="0099349C">
              <w:rPr>
                <w:rStyle w:val="Hypertextovodkaz"/>
                <w:rFonts w:eastAsia="Times New Roman" w:cs="Times New Roman"/>
                <w:noProof/>
              </w:rPr>
              <w:t>5</w:t>
            </w:r>
            <w:r w:rsidR="001A622A">
              <w:rPr>
                <w:rFonts w:asciiTheme="minorHAnsi" w:eastAsiaTheme="minorEastAsia" w:hAnsiTheme="minorHAnsi"/>
                <w:noProof/>
                <w:sz w:val="22"/>
                <w:lang w:eastAsia="cs-CZ"/>
              </w:rPr>
              <w:tab/>
            </w:r>
            <w:r w:rsidR="001A622A" w:rsidRPr="0099349C">
              <w:rPr>
                <w:rStyle w:val="Hypertextovodkaz"/>
                <w:noProof/>
                <w:u w:color="000000"/>
              </w:rPr>
              <w:t>Stř</w:t>
            </w:r>
            <w:r w:rsidR="001A622A" w:rsidRPr="0099349C">
              <w:rPr>
                <w:rStyle w:val="Hypertextovodkaz"/>
                <w:noProof/>
                <w:u w:color="000000"/>
                <w:lang w:val="nl-NL"/>
              </w:rPr>
              <w:t>et exekuc</w:t>
            </w:r>
            <w:r w:rsidR="001A622A" w:rsidRPr="0099349C">
              <w:rPr>
                <w:rStyle w:val="Hypertextovodkaz"/>
                <w:noProof/>
                <w:u w:color="000000"/>
              </w:rPr>
              <w:t>í</w:t>
            </w:r>
            <w:r w:rsidR="001A622A">
              <w:rPr>
                <w:noProof/>
                <w:webHidden/>
              </w:rPr>
              <w:tab/>
            </w:r>
            <w:r w:rsidR="001A622A">
              <w:rPr>
                <w:noProof/>
                <w:webHidden/>
              </w:rPr>
              <w:fldChar w:fldCharType="begin"/>
            </w:r>
            <w:r w:rsidR="001A622A">
              <w:rPr>
                <w:noProof/>
                <w:webHidden/>
              </w:rPr>
              <w:instrText xml:space="preserve"> PAGEREF _Toc18313970 \h </w:instrText>
            </w:r>
            <w:r w:rsidR="001A622A">
              <w:rPr>
                <w:noProof/>
                <w:webHidden/>
              </w:rPr>
            </w:r>
            <w:r w:rsidR="001A622A">
              <w:rPr>
                <w:noProof/>
                <w:webHidden/>
              </w:rPr>
              <w:fldChar w:fldCharType="separate"/>
            </w:r>
            <w:r w:rsidR="001A622A">
              <w:rPr>
                <w:noProof/>
                <w:webHidden/>
              </w:rPr>
              <w:t>69</w:t>
            </w:r>
            <w:r w:rsidR="001A622A">
              <w:rPr>
                <w:noProof/>
                <w:webHidden/>
              </w:rPr>
              <w:fldChar w:fldCharType="end"/>
            </w:r>
          </w:hyperlink>
        </w:p>
        <w:p w:rsidR="001A622A" w:rsidRDefault="00AE0061">
          <w:pPr>
            <w:pStyle w:val="Obsah2"/>
            <w:tabs>
              <w:tab w:val="left" w:pos="1320"/>
            </w:tabs>
            <w:rPr>
              <w:rFonts w:asciiTheme="minorHAnsi" w:eastAsiaTheme="minorEastAsia" w:hAnsiTheme="minorHAnsi"/>
              <w:noProof/>
              <w:sz w:val="22"/>
              <w:lang w:eastAsia="cs-CZ"/>
            </w:rPr>
          </w:pPr>
          <w:hyperlink w:anchor="_Toc18313971" w:history="1">
            <w:r w:rsidR="001A622A" w:rsidRPr="0099349C">
              <w:rPr>
                <w:rStyle w:val="Hypertextovodkaz"/>
                <w:noProof/>
              </w:rPr>
              <w:t>5.1</w:t>
            </w:r>
            <w:r w:rsidR="001A622A">
              <w:rPr>
                <w:rFonts w:asciiTheme="minorHAnsi" w:eastAsiaTheme="minorEastAsia" w:hAnsiTheme="minorHAnsi"/>
                <w:noProof/>
                <w:sz w:val="22"/>
                <w:lang w:eastAsia="cs-CZ"/>
              </w:rPr>
              <w:tab/>
            </w:r>
            <w:r w:rsidR="001A622A" w:rsidRPr="0099349C">
              <w:rPr>
                <w:rStyle w:val="Hypertextovodkaz"/>
                <w:noProof/>
              </w:rPr>
              <w:t>Zákon</w:t>
            </w:r>
            <w:r w:rsidR="001A622A" w:rsidRPr="0099349C">
              <w:rPr>
                <w:rStyle w:val="Hypertextovodkaz"/>
                <w:noProof/>
                <w:u w:color="000000"/>
              </w:rPr>
              <w:t xml:space="preserve"> upravující stř</w:t>
            </w:r>
            <w:r w:rsidR="001A622A" w:rsidRPr="0099349C">
              <w:rPr>
                <w:rStyle w:val="Hypertextovodkaz"/>
                <w:noProof/>
                <w:u w:color="000000"/>
                <w:lang w:val="nl-NL"/>
              </w:rPr>
              <w:t>et exekucí</w:t>
            </w:r>
            <w:r w:rsidR="001A622A">
              <w:rPr>
                <w:noProof/>
                <w:webHidden/>
              </w:rPr>
              <w:tab/>
            </w:r>
            <w:r w:rsidR="001A622A">
              <w:rPr>
                <w:noProof/>
                <w:webHidden/>
              </w:rPr>
              <w:fldChar w:fldCharType="begin"/>
            </w:r>
            <w:r w:rsidR="001A622A">
              <w:rPr>
                <w:noProof/>
                <w:webHidden/>
              </w:rPr>
              <w:instrText xml:space="preserve"> PAGEREF _Toc18313971 \h </w:instrText>
            </w:r>
            <w:r w:rsidR="001A622A">
              <w:rPr>
                <w:noProof/>
                <w:webHidden/>
              </w:rPr>
            </w:r>
            <w:r w:rsidR="001A622A">
              <w:rPr>
                <w:noProof/>
                <w:webHidden/>
              </w:rPr>
              <w:fldChar w:fldCharType="separate"/>
            </w:r>
            <w:r w:rsidR="001A622A">
              <w:rPr>
                <w:noProof/>
                <w:webHidden/>
              </w:rPr>
              <w:t>70</w:t>
            </w:r>
            <w:r w:rsidR="001A622A">
              <w:rPr>
                <w:noProof/>
                <w:webHidden/>
              </w:rPr>
              <w:fldChar w:fldCharType="end"/>
            </w:r>
          </w:hyperlink>
        </w:p>
        <w:p w:rsidR="001A622A" w:rsidRDefault="00AE0061">
          <w:pPr>
            <w:pStyle w:val="Obsah1"/>
            <w:tabs>
              <w:tab w:val="left" w:pos="1100"/>
            </w:tabs>
            <w:rPr>
              <w:rFonts w:asciiTheme="minorHAnsi" w:eastAsiaTheme="minorEastAsia" w:hAnsiTheme="minorHAnsi"/>
              <w:noProof/>
              <w:sz w:val="22"/>
              <w:lang w:eastAsia="cs-CZ"/>
            </w:rPr>
          </w:pPr>
          <w:hyperlink w:anchor="_Toc18313972" w:history="1">
            <w:r w:rsidR="001A622A" w:rsidRPr="0099349C">
              <w:rPr>
                <w:rStyle w:val="Hypertextovodkaz"/>
                <w:noProof/>
                <w:u w:color="000000"/>
              </w:rPr>
              <w:t>6</w:t>
            </w:r>
            <w:r w:rsidR="001A622A">
              <w:rPr>
                <w:rFonts w:asciiTheme="minorHAnsi" w:eastAsiaTheme="minorEastAsia" w:hAnsiTheme="minorHAnsi"/>
                <w:noProof/>
                <w:sz w:val="22"/>
                <w:lang w:eastAsia="cs-CZ"/>
              </w:rPr>
              <w:tab/>
            </w:r>
            <w:r w:rsidR="001A622A" w:rsidRPr="0099349C">
              <w:rPr>
                <w:rStyle w:val="Hypertextovodkaz"/>
                <w:noProof/>
                <w:u w:color="000000"/>
              </w:rPr>
              <w:t>Porovnání exekuce správní a soudní</w:t>
            </w:r>
            <w:r w:rsidR="001A622A">
              <w:rPr>
                <w:noProof/>
                <w:webHidden/>
              </w:rPr>
              <w:tab/>
            </w:r>
            <w:r w:rsidR="001A622A">
              <w:rPr>
                <w:noProof/>
                <w:webHidden/>
              </w:rPr>
              <w:fldChar w:fldCharType="begin"/>
            </w:r>
            <w:r w:rsidR="001A622A">
              <w:rPr>
                <w:noProof/>
                <w:webHidden/>
              </w:rPr>
              <w:instrText xml:space="preserve"> PAGEREF _Toc18313972 \h </w:instrText>
            </w:r>
            <w:r w:rsidR="001A622A">
              <w:rPr>
                <w:noProof/>
                <w:webHidden/>
              </w:rPr>
            </w:r>
            <w:r w:rsidR="001A622A">
              <w:rPr>
                <w:noProof/>
                <w:webHidden/>
              </w:rPr>
              <w:fldChar w:fldCharType="separate"/>
            </w:r>
            <w:r w:rsidR="001A622A">
              <w:rPr>
                <w:noProof/>
                <w:webHidden/>
              </w:rPr>
              <w:t>74</w:t>
            </w:r>
            <w:r w:rsidR="001A622A">
              <w:rPr>
                <w:noProof/>
                <w:webHidden/>
              </w:rPr>
              <w:fldChar w:fldCharType="end"/>
            </w:r>
          </w:hyperlink>
        </w:p>
        <w:p w:rsidR="001A622A" w:rsidRDefault="00AE0061">
          <w:pPr>
            <w:pStyle w:val="Obsah1"/>
            <w:rPr>
              <w:rFonts w:asciiTheme="minorHAnsi" w:eastAsiaTheme="minorEastAsia" w:hAnsiTheme="minorHAnsi"/>
              <w:noProof/>
              <w:sz w:val="22"/>
              <w:lang w:eastAsia="cs-CZ"/>
            </w:rPr>
          </w:pPr>
          <w:hyperlink w:anchor="_Toc18313973" w:history="1">
            <w:r w:rsidR="001A622A" w:rsidRPr="0099349C">
              <w:rPr>
                <w:rStyle w:val="Hypertextovodkaz"/>
                <w:noProof/>
                <w:u w:color="000000"/>
              </w:rPr>
              <w:t>Závěr</w:t>
            </w:r>
            <w:r w:rsidR="001A622A">
              <w:rPr>
                <w:noProof/>
                <w:webHidden/>
              </w:rPr>
              <w:tab/>
            </w:r>
            <w:r w:rsidR="001A622A">
              <w:rPr>
                <w:noProof/>
                <w:webHidden/>
              </w:rPr>
              <w:fldChar w:fldCharType="begin"/>
            </w:r>
            <w:r w:rsidR="001A622A">
              <w:rPr>
                <w:noProof/>
                <w:webHidden/>
              </w:rPr>
              <w:instrText xml:space="preserve"> PAGEREF _Toc18313973 \h </w:instrText>
            </w:r>
            <w:r w:rsidR="001A622A">
              <w:rPr>
                <w:noProof/>
                <w:webHidden/>
              </w:rPr>
            </w:r>
            <w:r w:rsidR="001A622A">
              <w:rPr>
                <w:noProof/>
                <w:webHidden/>
              </w:rPr>
              <w:fldChar w:fldCharType="separate"/>
            </w:r>
            <w:r w:rsidR="001A622A">
              <w:rPr>
                <w:noProof/>
                <w:webHidden/>
              </w:rPr>
              <w:t>76</w:t>
            </w:r>
            <w:r w:rsidR="001A622A">
              <w:rPr>
                <w:noProof/>
                <w:webHidden/>
              </w:rPr>
              <w:fldChar w:fldCharType="end"/>
            </w:r>
          </w:hyperlink>
        </w:p>
        <w:p w:rsidR="001A622A" w:rsidRDefault="00AE0061">
          <w:pPr>
            <w:pStyle w:val="Obsah1"/>
            <w:rPr>
              <w:rFonts w:asciiTheme="minorHAnsi" w:eastAsiaTheme="minorEastAsia" w:hAnsiTheme="minorHAnsi"/>
              <w:noProof/>
              <w:sz w:val="22"/>
              <w:lang w:eastAsia="cs-CZ"/>
            </w:rPr>
          </w:pPr>
          <w:hyperlink w:anchor="_Toc18313974" w:history="1">
            <w:r w:rsidR="001A622A" w:rsidRPr="0099349C">
              <w:rPr>
                <w:rStyle w:val="Hypertextovodkaz"/>
                <w:rFonts w:cs="Times New Roman"/>
                <w:noProof/>
              </w:rPr>
              <w:t>Resumé</w:t>
            </w:r>
            <w:r w:rsidR="001A622A">
              <w:rPr>
                <w:noProof/>
                <w:webHidden/>
              </w:rPr>
              <w:tab/>
            </w:r>
            <w:r w:rsidR="001A622A">
              <w:rPr>
                <w:noProof/>
                <w:webHidden/>
              </w:rPr>
              <w:fldChar w:fldCharType="begin"/>
            </w:r>
            <w:r w:rsidR="001A622A">
              <w:rPr>
                <w:noProof/>
                <w:webHidden/>
              </w:rPr>
              <w:instrText xml:space="preserve"> PAGEREF _Toc18313974 \h </w:instrText>
            </w:r>
            <w:r w:rsidR="001A622A">
              <w:rPr>
                <w:noProof/>
                <w:webHidden/>
              </w:rPr>
            </w:r>
            <w:r w:rsidR="001A622A">
              <w:rPr>
                <w:noProof/>
                <w:webHidden/>
              </w:rPr>
              <w:fldChar w:fldCharType="separate"/>
            </w:r>
            <w:r w:rsidR="001A622A">
              <w:rPr>
                <w:noProof/>
                <w:webHidden/>
              </w:rPr>
              <w:t>77</w:t>
            </w:r>
            <w:r w:rsidR="001A622A">
              <w:rPr>
                <w:noProof/>
                <w:webHidden/>
              </w:rPr>
              <w:fldChar w:fldCharType="end"/>
            </w:r>
          </w:hyperlink>
        </w:p>
        <w:p w:rsidR="001A622A" w:rsidRDefault="00AE0061">
          <w:pPr>
            <w:pStyle w:val="Obsah1"/>
            <w:rPr>
              <w:rFonts w:asciiTheme="minorHAnsi" w:eastAsiaTheme="minorEastAsia" w:hAnsiTheme="minorHAnsi"/>
              <w:noProof/>
              <w:sz w:val="22"/>
              <w:lang w:eastAsia="cs-CZ"/>
            </w:rPr>
          </w:pPr>
          <w:hyperlink w:anchor="_Toc18313975" w:history="1">
            <w:r w:rsidR="001A622A" w:rsidRPr="0099349C">
              <w:rPr>
                <w:rStyle w:val="Hypertextovodkaz"/>
                <w:noProof/>
                <w:u w:color="000000"/>
                <w:lang w:val="fr-FR"/>
              </w:rPr>
              <w:t>Pou</w:t>
            </w:r>
            <w:r w:rsidR="001A622A" w:rsidRPr="0099349C">
              <w:rPr>
                <w:rStyle w:val="Hypertextovodkaz"/>
                <w:noProof/>
                <w:u w:color="000000"/>
              </w:rPr>
              <w:t>žit</w:t>
            </w:r>
            <w:r w:rsidR="001A622A" w:rsidRPr="0099349C">
              <w:rPr>
                <w:rStyle w:val="Hypertextovodkaz"/>
                <w:noProof/>
                <w:u w:color="000000"/>
                <w:lang w:val="fr-FR"/>
              </w:rPr>
              <w:t xml:space="preserve">é </w:t>
            </w:r>
            <w:r w:rsidR="001A622A" w:rsidRPr="0099349C">
              <w:rPr>
                <w:rStyle w:val="Hypertextovodkaz"/>
                <w:noProof/>
                <w:u w:color="000000"/>
              </w:rPr>
              <w:t>zdroje</w:t>
            </w:r>
            <w:r w:rsidR="001A622A">
              <w:rPr>
                <w:noProof/>
                <w:webHidden/>
              </w:rPr>
              <w:tab/>
            </w:r>
            <w:r w:rsidR="001A622A">
              <w:rPr>
                <w:noProof/>
                <w:webHidden/>
              </w:rPr>
              <w:fldChar w:fldCharType="begin"/>
            </w:r>
            <w:r w:rsidR="001A622A">
              <w:rPr>
                <w:noProof/>
                <w:webHidden/>
              </w:rPr>
              <w:instrText xml:space="preserve"> PAGEREF _Toc18313975 \h </w:instrText>
            </w:r>
            <w:r w:rsidR="001A622A">
              <w:rPr>
                <w:noProof/>
                <w:webHidden/>
              </w:rPr>
            </w:r>
            <w:r w:rsidR="001A622A">
              <w:rPr>
                <w:noProof/>
                <w:webHidden/>
              </w:rPr>
              <w:fldChar w:fldCharType="separate"/>
            </w:r>
            <w:r w:rsidR="001A622A">
              <w:rPr>
                <w:noProof/>
                <w:webHidden/>
              </w:rPr>
              <w:t>79</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76" w:history="1">
            <w:r w:rsidR="001A622A" w:rsidRPr="0099349C">
              <w:rPr>
                <w:rStyle w:val="Hypertextovodkaz"/>
                <w:noProof/>
                <w:u w:color="000000"/>
                <w:lang w:val="de-DE"/>
              </w:rPr>
              <w:t>Literatura</w:t>
            </w:r>
            <w:r w:rsidR="001A622A">
              <w:rPr>
                <w:noProof/>
                <w:webHidden/>
              </w:rPr>
              <w:tab/>
            </w:r>
            <w:r w:rsidR="001A622A">
              <w:rPr>
                <w:noProof/>
                <w:webHidden/>
              </w:rPr>
              <w:fldChar w:fldCharType="begin"/>
            </w:r>
            <w:r w:rsidR="001A622A">
              <w:rPr>
                <w:noProof/>
                <w:webHidden/>
              </w:rPr>
              <w:instrText xml:space="preserve"> PAGEREF _Toc18313976 \h </w:instrText>
            </w:r>
            <w:r w:rsidR="001A622A">
              <w:rPr>
                <w:noProof/>
                <w:webHidden/>
              </w:rPr>
            </w:r>
            <w:r w:rsidR="001A622A">
              <w:rPr>
                <w:noProof/>
                <w:webHidden/>
              </w:rPr>
              <w:fldChar w:fldCharType="separate"/>
            </w:r>
            <w:r w:rsidR="001A622A">
              <w:rPr>
                <w:noProof/>
                <w:webHidden/>
              </w:rPr>
              <w:t>79</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77" w:history="1">
            <w:r w:rsidR="001A622A" w:rsidRPr="0099349C">
              <w:rPr>
                <w:rStyle w:val="Hypertextovodkaz"/>
                <w:rFonts w:eastAsia="Cambria"/>
                <w:noProof/>
                <w:u w:color="4F81BD"/>
                <w:bdr w:val="nil"/>
                <w:lang w:eastAsia="cs-CZ"/>
              </w:rPr>
              <w:t>Odborné č</w:t>
            </w:r>
            <w:r w:rsidR="001A622A" w:rsidRPr="0099349C">
              <w:rPr>
                <w:rStyle w:val="Hypertextovodkaz"/>
                <w:rFonts w:eastAsia="Cambria"/>
                <w:noProof/>
                <w:u w:color="000000"/>
                <w:bdr w:val="nil"/>
                <w:lang w:eastAsia="cs-CZ"/>
              </w:rPr>
              <w:t>asopisy</w:t>
            </w:r>
            <w:r w:rsidR="001A622A">
              <w:rPr>
                <w:noProof/>
                <w:webHidden/>
              </w:rPr>
              <w:tab/>
            </w:r>
            <w:r w:rsidR="001A622A">
              <w:rPr>
                <w:noProof/>
                <w:webHidden/>
              </w:rPr>
              <w:fldChar w:fldCharType="begin"/>
            </w:r>
            <w:r w:rsidR="001A622A">
              <w:rPr>
                <w:noProof/>
                <w:webHidden/>
              </w:rPr>
              <w:instrText xml:space="preserve"> PAGEREF _Toc18313977 \h </w:instrText>
            </w:r>
            <w:r w:rsidR="001A622A">
              <w:rPr>
                <w:noProof/>
                <w:webHidden/>
              </w:rPr>
            </w:r>
            <w:r w:rsidR="001A622A">
              <w:rPr>
                <w:noProof/>
                <w:webHidden/>
              </w:rPr>
              <w:fldChar w:fldCharType="separate"/>
            </w:r>
            <w:r w:rsidR="001A622A">
              <w:rPr>
                <w:noProof/>
                <w:webHidden/>
              </w:rPr>
              <w:t>80</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78" w:history="1">
            <w:r w:rsidR="001A622A" w:rsidRPr="0099349C">
              <w:rPr>
                <w:rStyle w:val="Hypertextovodkaz"/>
                <w:rFonts w:eastAsia="Cambria"/>
                <w:noProof/>
                <w:u w:color="4F81BD"/>
                <w:bdr w:val="nil"/>
                <w:lang w:eastAsia="cs-CZ"/>
              </w:rPr>
              <w:t>Akademické práce</w:t>
            </w:r>
            <w:r w:rsidR="001A622A">
              <w:rPr>
                <w:noProof/>
                <w:webHidden/>
              </w:rPr>
              <w:tab/>
            </w:r>
            <w:r w:rsidR="001A622A">
              <w:rPr>
                <w:noProof/>
                <w:webHidden/>
              </w:rPr>
              <w:fldChar w:fldCharType="begin"/>
            </w:r>
            <w:r w:rsidR="001A622A">
              <w:rPr>
                <w:noProof/>
                <w:webHidden/>
              </w:rPr>
              <w:instrText xml:space="preserve"> PAGEREF _Toc18313978 \h </w:instrText>
            </w:r>
            <w:r w:rsidR="001A622A">
              <w:rPr>
                <w:noProof/>
                <w:webHidden/>
              </w:rPr>
            </w:r>
            <w:r w:rsidR="001A622A">
              <w:rPr>
                <w:noProof/>
                <w:webHidden/>
              </w:rPr>
              <w:fldChar w:fldCharType="separate"/>
            </w:r>
            <w:r w:rsidR="001A622A">
              <w:rPr>
                <w:noProof/>
                <w:webHidden/>
              </w:rPr>
              <w:t>80</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79" w:history="1">
            <w:r w:rsidR="001A622A" w:rsidRPr="0099349C">
              <w:rPr>
                <w:rStyle w:val="Hypertextovodkaz"/>
                <w:noProof/>
                <w:u w:color="000000"/>
              </w:rPr>
              <w:t>Právní předpisy</w:t>
            </w:r>
            <w:r w:rsidR="001A622A">
              <w:rPr>
                <w:noProof/>
                <w:webHidden/>
              </w:rPr>
              <w:tab/>
            </w:r>
            <w:r w:rsidR="001A622A">
              <w:rPr>
                <w:noProof/>
                <w:webHidden/>
              </w:rPr>
              <w:fldChar w:fldCharType="begin"/>
            </w:r>
            <w:r w:rsidR="001A622A">
              <w:rPr>
                <w:noProof/>
                <w:webHidden/>
              </w:rPr>
              <w:instrText xml:space="preserve"> PAGEREF _Toc18313979 \h </w:instrText>
            </w:r>
            <w:r w:rsidR="001A622A">
              <w:rPr>
                <w:noProof/>
                <w:webHidden/>
              </w:rPr>
            </w:r>
            <w:r w:rsidR="001A622A">
              <w:rPr>
                <w:noProof/>
                <w:webHidden/>
              </w:rPr>
              <w:fldChar w:fldCharType="separate"/>
            </w:r>
            <w:r w:rsidR="001A622A">
              <w:rPr>
                <w:noProof/>
                <w:webHidden/>
              </w:rPr>
              <w:t>80</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80" w:history="1">
            <w:r w:rsidR="001A622A" w:rsidRPr="0099349C">
              <w:rPr>
                <w:rStyle w:val="Hypertextovodkaz"/>
                <w:noProof/>
              </w:rPr>
              <w:t>Odkazy internetových stránek</w:t>
            </w:r>
            <w:r w:rsidR="001A622A">
              <w:rPr>
                <w:noProof/>
                <w:webHidden/>
              </w:rPr>
              <w:tab/>
            </w:r>
            <w:r w:rsidR="001A622A">
              <w:rPr>
                <w:noProof/>
                <w:webHidden/>
              </w:rPr>
              <w:fldChar w:fldCharType="begin"/>
            </w:r>
            <w:r w:rsidR="001A622A">
              <w:rPr>
                <w:noProof/>
                <w:webHidden/>
              </w:rPr>
              <w:instrText xml:space="preserve"> PAGEREF _Toc18313980 \h </w:instrText>
            </w:r>
            <w:r w:rsidR="001A622A">
              <w:rPr>
                <w:noProof/>
                <w:webHidden/>
              </w:rPr>
            </w:r>
            <w:r w:rsidR="001A622A">
              <w:rPr>
                <w:noProof/>
                <w:webHidden/>
              </w:rPr>
              <w:fldChar w:fldCharType="separate"/>
            </w:r>
            <w:r w:rsidR="001A622A">
              <w:rPr>
                <w:noProof/>
                <w:webHidden/>
              </w:rPr>
              <w:t>81</w:t>
            </w:r>
            <w:r w:rsidR="001A622A">
              <w:rPr>
                <w:noProof/>
                <w:webHidden/>
              </w:rPr>
              <w:fldChar w:fldCharType="end"/>
            </w:r>
          </w:hyperlink>
        </w:p>
        <w:p w:rsidR="001A622A" w:rsidRDefault="00AE0061">
          <w:pPr>
            <w:pStyle w:val="Obsah1"/>
            <w:rPr>
              <w:rFonts w:asciiTheme="minorHAnsi" w:eastAsiaTheme="minorEastAsia" w:hAnsiTheme="minorHAnsi"/>
              <w:noProof/>
              <w:sz w:val="22"/>
              <w:lang w:eastAsia="cs-CZ"/>
            </w:rPr>
          </w:pPr>
          <w:hyperlink w:anchor="_Toc18313981" w:history="1">
            <w:r w:rsidR="001A622A" w:rsidRPr="0099349C">
              <w:rPr>
                <w:rStyle w:val="Hypertextovodkaz"/>
                <w:noProof/>
                <w:u w:color="000000"/>
              </w:rPr>
              <w:t>Přílohy</w:t>
            </w:r>
            <w:r w:rsidR="001A622A">
              <w:rPr>
                <w:noProof/>
                <w:webHidden/>
              </w:rPr>
              <w:tab/>
            </w:r>
            <w:r w:rsidR="001A622A">
              <w:rPr>
                <w:noProof/>
                <w:webHidden/>
              </w:rPr>
              <w:fldChar w:fldCharType="begin"/>
            </w:r>
            <w:r w:rsidR="001A622A">
              <w:rPr>
                <w:noProof/>
                <w:webHidden/>
              </w:rPr>
              <w:instrText xml:space="preserve"> PAGEREF _Toc18313981 \h </w:instrText>
            </w:r>
            <w:r w:rsidR="001A622A">
              <w:rPr>
                <w:noProof/>
                <w:webHidden/>
              </w:rPr>
            </w:r>
            <w:r w:rsidR="001A622A">
              <w:rPr>
                <w:noProof/>
                <w:webHidden/>
              </w:rPr>
              <w:fldChar w:fldCharType="separate"/>
            </w:r>
            <w:r w:rsidR="001A622A">
              <w:rPr>
                <w:noProof/>
                <w:webHidden/>
              </w:rPr>
              <w:t>83</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82" w:history="1">
            <w:r w:rsidR="001A622A" w:rsidRPr="0099349C">
              <w:rPr>
                <w:rStyle w:val="Hypertextovodkaz"/>
                <w:noProof/>
                <w:u w:color="000000"/>
              </w:rPr>
              <w:t xml:space="preserve">Příloha č. 1- </w:t>
            </w:r>
            <w:r w:rsidR="001A622A" w:rsidRPr="0099349C">
              <w:rPr>
                <w:rStyle w:val="Hypertextovodkaz"/>
                <w:noProof/>
                <w:u w:color="000000"/>
                <w:lang w:val="pt-PT"/>
              </w:rPr>
              <w:t>Mgr. Sob</w:t>
            </w:r>
            <w:r w:rsidR="001A622A" w:rsidRPr="0099349C">
              <w:rPr>
                <w:rStyle w:val="Hypertextovodkaz"/>
                <w:noProof/>
                <w:u w:color="000000"/>
              </w:rPr>
              <w:t>íšková, Zuzana, Argumenty proti zavedení místní příslušnosti exekutorů a zrušení práva volby exekutora oprávněným</w:t>
            </w:r>
            <w:r w:rsidR="001A622A">
              <w:rPr>
                <w:noProof/>
                <w:webHidden/>
              </w:rPr>
              <w:tab/>
            </w:r>
            <w:r w:rsidR="001A622A">
              <w:rPr>
                <w:noProof/>
                <w:webHidden/>
              </w:rPr>
              <w:fldChar w:fldCharType="begin"/>
            </w:r>
            <w:r w:rsidR="001A622A">
              <w:rPr>
                <w:noProof/>
                <w:webHidden/>
              </w:rPr>
              <w:instrText xml:space="preserve"> PAGEREF _Toc18313982 \h </w:instrText>
            </w:r>
            <w:r w:rsidR="001A622A">
              <w:rPr>
                <w:noProof/>
                <w:webHidden/>
              </w:rPr>
            </w:r>
            <w:r w:rsidR="001A622A">
              <w:rPr>
                <w:noProof/>
                <w:webHidden/>
              </w:rPr>
              <w:fldChar w:fldCharType="separate"/>
            </w:r>
            <w:r w:rsidR="001A622A">
              <w:rPr>
                <w:noProof/>
                <w:webHidden/>
              </w:rPr>
              <w:t>83</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83" w:history="1">
            <w:r w:rsidR="001A622A" w:rsidRPr="0099349C">
              <w:rPr>
                <w:rStyle w:val="Hypertextovodkaz"/>
                <w:noProof/>
                <w:u w:color="000000"/>
              </w:rPr>
              <w:t xml:space="preserve">Příloha č. 2- Statistiky exekucí </w:t>
            </w:r>
            <w:r w:rsidR="001A622A" w:rsidRPr="0099349C">
              <w:rPr>
                <w:rStyle w:val="Hypertextovodkaz"/>
                <w:noProof/>
                <w:u w:color="000000"/>
                <w:lang w:val="pt-PT"/>
              </w:rPr>
              <w:t>2018 a v</w:t>
            </w:r>
            <w:r w:rsidR="001A622A" w:rsidRPr="0099349C">
              <w:rPr>
                <w:rStyle w:val="Hypertextovodkaz"/>
                <w:noProof/>
                <w:u w:color="000000"/>
              </w:rPr>
              <w:t>ývoj exekučního řízení v Č</w:t>
            </w:r>
            <w:r w:rsidR="001A622A" w:rsidRPr="0099349C">
              <w:rPr>
                <w:rStyle w:val="Hypertextovodkaz"/>
                <w:noProof/>
                <w:u w:color="000000"/>
                <w:lang w:val="de-DE"/>
              </w:rPr>
              <w:t>R v</w:t>
            </w:r>
            <w:r w:rsidR="001A622A" w:rsidRPr="0099349C">
              <w:rPr>
                <w:rStyle w:val="Hypertextovodkaz"/>
                <w:noProof/>
                <w:u w:color="000000"/>
              </w:rPr>
              <w:t> letech 2016-2018 dle exekutorsk</w:t>
            </w:r>
            <w:r w:rsidR="001A622A" w:rsidRPr="0099349C">
              <w:rPr>
                <w:rStyle w:val="Hypertextovodkaz"/>
                <w:noProof/>
                <w:u w:color="000000"/>
                <w:lang w:val="fr-FR"/>
              </w:rPr>
              <w:t xml:space="preserve">é </w:t>
            </w:r>
            <w:r w:rsidR="001A622A" w:rsidRPr="0099349C">
              <w:rPr>
                <w:rStyle w:val="Hypertextovodkaz"/>
                <w:noProof/>
                <w:u w:color="000000"/>
              </w:rPr>
              <w:t>komory Česk</w:t>
            </w:r>
            <w:r w:rsidR="001A622A" w:rsidRPr="0099349C">
              <w:rPr>
                <w:rStyle w:val="Hypertextovodkaz"/>
                <w:noProof/>
                <w:u w:color="000000"/>
                <w:lang w:val="fr-FR"/>
              </w:rPr>
              <w:t xml:space="preserve">é </w:t>
            </w:r>
            <w:r w:rsidR="001A622A" w:rsidRPr="0099349C">
              <w:rPr>
                <w:rStyle w:val="Hypertextovodkaz"/>
                <w:noProof/>
                <w:u w:color="000000"/>
              </w:rPr>
              <w:t>republiky</w:t>
            </w:r>
            <w:r w:rsidR="001A622A">
              <w:rPr>
                <w:noProof/>
                <w:webHidden/>
              </w:rPr>
              <w:tab/>
            </w:r>
            <w:r w:rsidR="001A622A">
              <w:rPr>
                <w:noProof/>
                <w:webHidden/>
              </w:rPr>
              <w:fldChar w:fldCharType="begin"/>
            </w:r>
            <w:r w:rsidR="001A622A">
              <w:rPr>
                <w:noProof/>
                <w:webHidden/>
              </w:rPr>
              <w:instrText xml:space="preserve"> PAGEREF _Toc18313983 \h </w:instrText>
            </w:r>
            <w:r w:rsidR="001A622A">
              <w:rPr>
                <w:noProof/>
                <w:webHidden/>
              </w:rPr>
            </w:r>
            <w:r w:rsidR="001A622A">
              <w:rPr>
                <w:noProof/>
                <w:webHidden/>
              </w:rPr>
              <w:fldChar w:fldCharType="separate"/>
            </w:r>
            <w:r w:rsidR="001A622A">
              <w:rPr>
                <w:noProof/>
                <w:webHidden/>
              </w:rPr>
              <w:t>88</w:t>
            </w:r>
            <w:r w:rsidR="001A622A">
              <w:rPr>
                <w:noProof/>
                <w:webHidden/>
              </w:rPr>
              <w:fldChar w:fldCharType="end"/>
            </w:r>
          </w:hyperlink>
        </w:p>
        <w:p w:rsidR="001A622A" w:rsidRDefault="00AE0061">
          <w:pPr>
            <w:pStyle w:val="Obsah2"/>
            <w:rPr>
              <w:rFonts w:asciiTheme="minorHAnsi" w:eastAsiaTheme="minorEastAsia" w:hAnsiTheme="minorHAnsi"/>
              <w:noProof/>
              <w:sz w:val="22"/>
              <w:lang w:eastAsia="cs-CZ"/>
            </w:rPr>
          </w:pPr>
          <w:hyperlink w:anchor="_Toc18313984" w:history="1">
            <w:r w:rsidR="001A622A" w:rsidRPr="0099349C">
              <w:rPr>
                <w:rStyle w:val="Hypertextovodkaz"/>
                <w:noProof/>
                <w:u w:color="000000"/>
              </w:rPr>
              <w:t>Příloha č. 3- vzor exekučního návrhu</w:t>
            </w:r>
            <w:r w:rsidR="001A622A">
              <w:rPr>
                <w:noProof/>
                <w:webHidden/>
              </w:rPr>
              <w:tab/>
            </w:r>
            <w:r w:rsidR="001A622A">
              <w:rPr>
                <w:noProof/>
                <w:webHidden/>
              </w:rPr>
              <w:fldChar w:fldCharType="begin"/>
            </w:r>
            <w:r w:rsidR="001A622A">
              <w:rPr>
                <w:noProof/>
                <w:webHidden/>
              </w:rPr>
              <w:instrText xml:space="preserve"> PAGEREF _Toc18313984 \h </w:instrText>
            </w:r>
            <w:r w:rsidR="001A622A">
              <w:rPr>
                <w:noProof/>
                <w:webHidden/>
              </w:rPr>
            </w:r>
            <w:r w:rsidR="001A622A">
              <w:rPr>
                <w:noProof/>
                <w:webHidden/>
              </w:rPr>
              <w:fldChar w:fldCharType="separate"/>
            </w:r>
            <w:r w:rsidR="001A622A">
              <w:rPr>
                <w:noProof/>
                <w:webHidden/>
              </w:rPr>
              <w:t>92</w:t>
            </w:r>
            <w:r w:rsidR="001A622A">
              <w:rPr>
                <w:noProof/>
                <w:webHidden/>
              </w:rPr>
              <w:fldChar w:fldCharType="end"/>
            </w:r>
          </w:hyperlink>
        </w:p>
        <w:p w:rsidR="009C24CB" w:rsidRDefault="00E420FE" w:rsidP="00993DA4">
          <w:pPr>
            <w:ind w:firstLine="0"/>
            <w:rPr>
              <w:b/>
              <w:bCs/>
            </w:rPr>
            <w:sectPr w:rsidR="009C24CB" w:rsidSect="00017F20">
              <w:footerReference w:type="default" r:id="rId9"/>
              <w:pgSz w:w="11906" w:h="16838" w:code="9"/>
              <w:pgMar w:top="1134" w:right="1418" w:bottom="1134" w:left="2552" w:header="709" w:footer="709" w:gutter="0"/>
              <w:cols w:space="708"/>
              <w:docGrid w:linePitch="360"/>
            </w:sectPr>
          </w:pPr>
          <w:r w:rsidRPr="00E420FE">
            <w:rPr>
              <w:b/>
              <w:bCs/>
            </w:rPr>
            <w:fldChar w:fldCharType="end"/>
          </w:r>
        </w:p>
        <w:p w:rsidR="00C44BD5" w:rsidRDefault="00AE0061" w:rsidP="00BA16F6">
          <w:pPr>
            <w:ind w:firstLine="0"/>
          </w:pPr>
        </w:p>
      </w:sdtContent>
    </w:sdt>
    <w:p w:rsidR="00C44BD5" w:rsidRDefault="00C44BD5" w:rsidP="00C44BD5"/>
    <w:p w:rsidR="00A53146" w:rsidRPr="00C44BD5" w:rsidRDefault="00A53146" w:rsidP="00C44BD5">
      <w:pPr>
        <w:sectPr w:rsidR="00A53146" w:rsidRPr="00C44BD5" w:rsidSect="009C24CB">
          <w:type w:val="continuous"/>
          <w:pgSz w:w="11906" w:h="16838"/>
          <w:pgMar w:top="1134" w:right="1418" w:bottom="1134" w:left="2552" w:header="709" w:footer="709" w:gutter="0"/>
          <w:cols w:space="708"/>
          <w:docGrid w:linePitch="360"/>
        </w:sectPr>
      </w:pPr>
    </w:p>
    <w:p w:rsidR="009B70FF" w:rsidRPr="00FA20BB" w:rsidRDefault="009B70FF" w:rsidP="00DE1462">
      <w:pPr>
        <w:pStyle w:val="Nadpis1"/>
        <w:ind w:firstLine="0"/>
        <w:rPr>
          <w:rFonts w:eastAsia="Times New Roman" w:cs="Times New Roman"/>
        </w:rPr>
      </w:pPr>
      <w:bookmarkStart w:id="1" w:name="_Toc18276714"/>
      <w:bookmarkStart w:id="2" w:name="_Toc18313935"/>
      <w:r>
        <w:rPr>
          <w:u w:color="000000"/>
        </w:rPr>
        <w:t>Úvod</w:t>
      </w:r>
      <w:bookmarkEnd w:id="1"/>
      <w:bookmarkEnd w:id="2"/>
      <w:r>
        <w:rPr>
          <w:u w:color="000000"/>
        </w:rPr>
        <w:t xml:space="preserve"> </w:t>
      </w:r>
    </w:p>
    <w:p w:rsidR="009B70FF" w:rsidRDefault="009B70FF" w:rsidP="009B70FF">
      <w:pPr>
        <w:pStyle w:val="Default"/>
        <w:spacing w:line="360" w:lineRule="auto"/>
        <w:ind w:firstLine="708"/>
        <w:jc w:val="both"/>
      </w:pPr>
      <w:r>
        <w:t>Téma diplomovou práce jsem si zvolila z důvodu zpracovávání stejné problematiky jako závěrečné práce v rámci bakalářského studia. Volba t</w:t>
      </w:r>
      <w:r>
        <w:rPr>
          <w:lang w:val="fr-FR"/>
        </w:rPr>
        <w:t>é</w:t>
      </w:r>
      <w:r>
        <w:t>matu byla ovlivněná mým působením na Exekutorsk</w:t>
      </w:r>
      <w:r>
        <w:rPr>
          <w:lang w:val="fr-FR"/>
        </w:rPr>
        <w:t>é</w:t>
      </w:r>
      <w:r>
        <w:t>m úřadu Prahy 6 v rámci roční praxe a dvouleté praxe v neziskov</w:t>
      </w:r>
      <w:r>
        <w:rPr>
          <w:lang w:val="fr-FR"/>
        </w:rPr>
        <w:t xml:space="preserve">é </w:t>
      </w:r>
      <w:r>
        <w:t>organizace Alimenty dětem a Exekutor má smůlu. Cílem t</w:t>
      </w:r>
      <w:r>
        <w:rPr>
          <w:lang w:val="fr-FR"/>
        </w:rPr>
        <w:t>é</w:t>
      </w:r>
      <w:r>
        <w:rPr>
          <w:lang w:val="it-IT"/>
        </w:rPr>
        <w:t xml:space="preserve">to práce </w:t>
      </w:r>
      <w:r>
        <w:t xml:space="preserve">je rozšířit předchozí bakalářskou práci a přinést prostřednictvím této práce k tomuto tématu nové informace a poznatky. </w:t>
      </w:r>
    </w:p>
    <w:p w:rsidR="009B70FF" w:rsidRDefault="009B70FF" w:rsidP="009B70FF">
      <w:pPr>
        <w:pStyle w:val="Default"/>
        <w:spacing w:line="360" w:lineRule="auto"/>
        <w:jc w:val="both"/>
      </w:pPr>
      <w:r>
        <w:tab/>
        <w:t>V první kapitole se zabývám historickým vývojem exekučního práva od jeho samotných počátků. Tuto kapitolu jsem oproti bakalářsk</w:t>
      </w:r>
      <w:r>
        <w:rPr>
          <w:lang w:val="fr-FR"/>
        </w:rPr>
        <w:t xml:space="preserve">é </w:t>
      </w:r>
      <w:r>
        <w:t>práci podstatně upravila a rozšířila. Věnuji se zde především úpravě exekučního řízení v římském, zemském a městském právu. Krátký exkurz bude věnován i exekučnímu právu v době osvícenství a vývoj exekuce a její právní úpravy 1895 do roku 1963. Na konci první kapitoly je popsán zdlouhavý proces přijetí zákona č. 120/2001 Sb., o soudních exekutorech a exekuční činnosti, který přinesl do exekučního řízení nový institut soudního exekutora.</w:t>
      </w:r>
    </w:p>
    <w:p w:rsidR="009B70FF" w:rsidRDefault="009B70FF" w:rsidP="009B70FF">
      <w:pPr>
        <w:pStyle w:val="Default"/>
        <w:spacing w:line="360" w:lineRule="auto"/>
        <w:jc w:val="both"/>
      </w:pPr>
      <w:r>
        <w:tab/>
        <w:t>Následující kapitola pojednává o exekučním řízení a jeho rozsáhlé právní úpravě. Přičemž základními předpisy jsou zákon č. 99/1963 Sb., občanský soudní řád, a od roku 2001 je to zákon č. 120/2001 Sb., o soudních exekutorech a exekuční činnosti (exekuční řád).</w:t>
      </w:r>
    </w:p>
    <w:p w:rsidR="009B70FF" w:rsidRDefault="009B70FF" w:rsidP="009B70FF">
      <w:pPr>
        <w:pStyle w:val="Default"/>
        <w:spacing w:line="360" w:lineRule="auto"/>
        <w:jc w:val="both"/>
      </w:pPr>
      <w:r>
        <w:tab/>
        <w:t xml:space="preserve">V pořadí čtvrté kapitole se zabývám exekucí správních rozhodnutí. V této kapitole vycházím ze zákona č. 500/2004 Sb., správního řádu a zákona č. 280/2009 Sb., daňového řádu, upravujícího tzv. exekuci daňovou. Do této kapitoly je zahrnut nejdůležitější předpoklad pro exekuci, a to exekuční titul. Zároveň je zde popsán průběh exekucí správních rozhodnutí, a to jak na peněžité, tak nepeněžité plnění. Na konec kapitoly je výčet a charakteristika jednotlivých způsobů provedení exekuce. </w:t>
      </w:r>
    </w:p>
    <w:p w:rsidR="009B70FF" w:rsidRDefault="009B70FF" w:rsidP="009B70FF">
      <w:pPr>
        <w:pStyle w:val="Default"/>
        <w:spacing w:line="360" w:lineRule="auto"/>
        <w:jc w:val="both"/>
      </w:pPr>
      <w:r>
        <w:tab/>
        <w:t>V páté kapitole se pak logicky věnuji druhému typu exekuce, a to exekuci soudní. Tento druh exekuce se dále dělí podle toho, zda je exekuce soudní nařízena a vykoná</w:t>
      </w:r>
      <w:r>
        <w:rPr>
          <w:lang w:val="nl-NL"/>
        </w:rPr>
        <w:t>van</w:t>
      </w:r>
      <w:r>
        <w:t>á soudy, či nařízena soudem a vykonána soudním exekutorem. Jelikož se jedná o srovnání dvou druhů exekucí, tak i zde se věnuji exekučnímu titulu, průběhu řízení a způsobům provedení exekuce. Podrobněji se zde věnuji činnosti soudních exekutorů, jejich organizaci a dohledem nad jejich činností.</w:t>
      </w:r>
    </w:p>
    <w:p w:rsidR="009B70FF" w:rsidRDefault="009B70FF" w:rsidP="009B70FF">
      <w:pPr>
        <w:pStyle w:val="Default"/>
        <w:spacing w:line="360" w:lineRule="auto"/>
        <w:jc w:val="both"/>
      </w:pPr>
      <w:r>
        <w:tab/>
        <w:t>V diplomové práci</w:t>
      </w:r>
      <w:r>
        <w:rPr>
          <w:lang w:val="it-IT"/>
        </w:rPr>
        <w:t xml:space="preserve">i </w:t>
      </w:r>
      <w:r>
        <w:t>se věnuji velmi aktuálnímu t</w:t>
      </w:r>
      <w:r>
        <w:rPr>
          <w:lang w:val="fr-FR"/>
        </w:rPr>
        <w:t>é</w:t>
      </w:r>
      <w:r>
        <w:t>matu, a to zavedení místní příslušnosti soudních exekutorů. Toto téma bylo již zpracováno</w:t>
      </w:r>
      <w:r>
        <w:rPr>
          <w:lang w:val="it-IT"/>
        </w:rPr>
        <w:t xml:space="preserve"> v</w:t>
      </w:r>
      <w:r>
        <w:t> mé bakalářské</w:t>
      </w:r>
      <w:r>
        <w:rPr>
          <w:lang w:val="fr-FR"/>
        </w:rPr>
        <w:t xml:space="preserve"> </w:t>
      </w:r>
      <w:r>
        <w:t xml:space="preserve">práci, a to v rámci zpracovávání rozhovoru se soudní exekutorkou Zuzanou Sobíškovou, zejména přiloženými argumenty proti zavedení místní příslušnosti. Tento rozhovor, který byl původně </w:t>
      </w:r>
      <w:r>
        <w:rPr>
          <w:lang w:val="fr-FR"/>
        </w:rPr>
        <w:t>pou</w:t>
      </w:r>
      <w:r>
        <w:t>ž</w:t>
      </w:r>
      <w:r>
        <w:rPr>
          <w:lang w:val="de-DE"/>
        </w:rPr>
        <w:t>it v</w:t>
      </w:r>
      <w:r>
        <w:t> m</w:t>
      </w:r>
      <w:r>
        <w:rPr>
          <w:lang w:val="fr-FR"/>
        </w:rPr>
        <w:t xml:space="preserve">é </w:t>
      </w:r>
      <w:r>
        <w:t>bakalářsk</w:t>
      </w:r>
      <w:r>
        <w:rPr>
          <w:lang w:val="fr-FR"/>
        </w:rPr>
        <w:t xml:space="preserve">é </w:t>
      </w:r>
      <w:r>
        <w:t>práci, jsem použila i v t</w:t>
      </w:r>
      <w:r>
        <w:rPr>
          <w:lang w:val="fr-FR"/>
        </w:rPr>
        <w:t>é</w:t>
      </w:r>
      <w:r>
        <w:rPr>
          <w:lang w:val="it-IT"/>
        </w:rPr>
        <w:t>to pr</w:t>
      </w:r>
      <w:r>
        <w:t>á</w:t>
      </w:r>
      <w:r>
        <w:rPr>
          <w:lang w:val="it-IT"/>
        </w:rPr>
        <w:t>ci</w:t>
      </w:r>
      <w:r>
        <w:t>, jakož</w:t>
      </w:r>
      <w:r>
        <w:rPr>
          <w:lang w:val="it-IT"/>
        </w:rPr>
        <w:t>to st</w:t>
      </w:r>
      <w:r>
        <w:t xml:space="preserve">ěžejní </w:t>
      </w:r>
      <w:r>
        <w:rPr>
          <w:lang w:val="it-IT"/>
        </w:rPr>
        <w:t>materi</w:t>
      </w:r>
      <w:r>
        <w:t xml:space="preserve">ál pro exekuční řízení a řízení o místní příslušnosti exekutorů. Spolu s problematikou místní příslušností se v podkapitole exekuce soudní věnuji i koncentraci exekučního řízení, které se v exekutorských řadách přezdívá systém sněhuláka. </w:t>
      </w:r>
    </w:p>
    <w:p w:rsidR="009B70FF" w:rsidRDefault="009B70FF" w:rsidP="009B70FF">
      <w:pPr>
        <w:pStyle w:val="Default"/>
        <w:spacing w:line="360" w:lineRule="auto"/>
        <w:jc w:val="both"/>
      </w:pPr>
      <w:r>
        <w:tab/>
        <w:t>V rámci těchto dvou druhů exekucí je pak v šesté kapitole popsán jejich souběh nebo také střet, jež upravuje zákon č. 119/2001 Sb., kterým se stanoví pravidla pro případy souběžně probíhajících výkonů rozhodnutí.</w:t>
      </w:r>
    </w:p>
    <w:p w:rsidR="009B70FF" w:rsidRDefault="009B70FF" w:rsidP="009B70FF">
      <w:pPr>
        <w:pStyle w:val="Default"/>
        <w:spacing w:line="360" w:lineRule="auto"/>
        <w:jc w:val="both"/>
      </w:pPr>
      <w:r>
        <w:tab/>
        <w:t xml:space="preserve">V sedmé, a zároveň předposlední kapitole, se věnuji porovnání exekuce správní a soudní. </w:t>
      </w:r>
    </w:p>
    <w:p w:rsidR="009B70FF" w:rsidRDefault="009B70FF" w:rsidP="009B70FF">
      <w:pPr>
        <w:pStyle w:val="Default"/>
        <w:spacing w:line="360" w:lineRule="auto"/>
        <w:ind w:firstLine="708"/>
        <w:jc w:val="both"/>
      </w:pPr>
      <w:r>
        <w:t>V závěru práce shrnuji poznatky, které jsem získala během zpracování jednotlivých kapitol.</w:t>
      </w:r>
    </w:p>
    <w:p w:rsidR="009B70FF" w:rsidRDefault="009B70FF" w:rsidP="009B70FF">
      <w:pPr>
        <w:pStyle w:val="Default"/>
        <w:spacing w:line="360" w:lineRule="auto"/>
        <w:ind w:firstLine="708"/>
        <w:jc w:val="both"/>
      </w:pPr>
      <w:r>
        <w:t>K vypracování t</w:t>
      </w:r>
      <w:r>
        <w:rPr>
          <w:lang w:val="fr-FR"/>
        </w:rPr>
        <w:t>é</w:t>
      </w:r>
      <w:r>
        <w:rPr>
          <w:lang w:val="it-IT"/>
        </w:rPr>
        <w:t>to pr</w:t>
      </w:r>
      <w:r>
        <w:t xml:space="preserve">áce byla použita odborná </w:t>
      </w:r>
      <w:r>
        <w:rPr>
          <w:lang w:val="it-IT"/>
        </w:rPr>
        <w:t>literatura</w:t>
      </w:r>
      <w:r>
        <w:t xml:space="preserve"> a články, platn</w:t>
      </w:r>
      <w:r>
        <w:rPr>
          <w:lang w:val="fr-FR"/>
        </w:rPr>
        <w:t xml:space="preserve">é </w:t>
      </w:r>
      <w:r>
        <w:t>právní normy s kometáři a judikatura.</w:t>
      </w:r>
    </w:p>
    <w:p w:rsidR="009B70FF" w:rsidRPr="001B7CAC" w:rsidRDefault="009B70FF" w:rsidP="009B70FF">
      <w:pPr>
        <w:spacing w:line="240" w:lineRule="auto"/>
        <w:rPr>
          <w:rFonts w:eastAsia="Arial Unicode MS" w:cs="Arial Unicode MS"/>
          <w:szCs w:val="24"/>
        </w:rPr>
      </w:pPr>
      <w:r>
        <w:br w:type="page"/>
      </w:r>
    </w:p>
    <w:p w:rsidR="009B70FF" w:rsidRPr="00FA20BB" w:rsidRDefault="009B70FF" w:rsidP="007A2179">
      <w:pPr>
        <w:pStyle w:val="Nadpis1"/>
        <w:numPr>
          <w:ilvl w:val="0"/>
          <w:numId w:val="33"/>
        </w:numPr>
        <w:pBdr>
          <w:top w:val="nil"/>
          <w:left w:val="nil"/>
          <w:bottom w:val="nil"/>
          <w:right w:val="nil"/>
          <w:between w:val="nil"/>
          <w:bar w:val="nil"/>
        </w:pBdr>
        <w:spacing w:before="280" w:after="280" w:line="240" w:lineRule="auto"/>
        <w:ind w:hanging="720"/>
        <w:jc w:val="left"/>
        <w:rPr>
          <w:rFonts w:eastAsia="Times New Roman" w:cs="Times New Roman"/>
        </w:rPr>
      </w:pPr>
      <w:bookmarkStart w:id="3" w:name="_Toc1"/>
      <w:bookmarkStart w:id="4" w:name="_Toc18276715"/>
      <w:bookmarkStart w:id="5" w:name="_Toc18313936"/>
      <w:r>
        <w:rPr>
          <w:u w:color="000000"/>
        </w:rPr>
        <w:t>Historický vývoj exekučního práva</w:t>
      </w:r>
      <w:bookmarkEnd w:id="3"/>
      <w:bookmarkEnd w:id="4"/>
      <w:bookmarkEnd w:id="5"/>
    </w:p>
    <w:p w:rsidR="009B70FF" w:rsidRDefault="009B70FF" w:rsidP="009B70FF">
      <w:pPr>
        <w:pStyle w:val="Default"/>
        <w:spacing w:line="360" w:lineRule="auto"/>
        <w:ind w:firstLine="709"/>
        <w:jc w:val="both"/>
      </w:pPr>
      <w:r>
        <w:rPr>
          <w:lang w:val="pt-PT"/>
        </w:rPr>
        <w:t>Pro exeku</w:t>
      </w:r>
      <w:r>
        <w:t>ční právo v rámci práva procesního je zřejmě mezním rokem rok 2001, který dal vzniknout nov</w:t>
      </w:r>
      <w:r>
        <w:rPr>
          <w:lang w:val="fr-FR"/>
        </w:rPr>
        <w:t>é</w:t>
      </w:r>
      <w:r>
        <w:t xml:space="preserve">mu druhu řízení, </w:t>
      </w:r>
      <w:r>
        <w:rPr>
          <w:lang w:val="en-US"/>
        </w:rPr>
        <w:t xml:space="preserve">a to </w:t>
      </w:r>
      <w:r>
        <w:t xml:space="preserve">řízení </w:t>
      </w:r>
      <w:r>
        <w:rPr>
          <w:lang w:val="pt-PT"/>
        </w:rPr>
        <w:t>exeku</w:t>
      </w:r>
      <w:r>
        <w:t>čnímu prováděn</w:t>
      </w:r>
      <w:r>
        <w:rPr>
          <w:lang w:val="fr-FR"/>
        </w:rPr>
        <w:t>é</w:t>
      </w:r>
      <w:r>
        <w:t>mu soudním exekutorem podle zákona č. 120/2011Sb., o soudních exekutorech a exekuční činnosti. Počátky exekuce však nenacházíme až v roce 2001, ale mnohem dříve, a to zhruba již v roce 3500 př. n. l.</w:t>
      </w:r>
      <w:r>
        <w:rPr>
          <w:rStyle w:val="Znakapoznpodarou"/>
        </w:rPr>
        <w:footnoteReference w:id="1"/>
      </w:r>
    </w:p>
    <w:p w:rsidR="009B70FF" w:rsidRPr="00FA20BB" w:rsidRDefault="009B70FF" w:rsidP="007A2179">
      <w:pPr>
        <w:pStyle w:val="Nadpis2"/>
        <w:numPr>
          <w:ilvl w:val="1"/>
          <w:numId w:val="33"/>
        </w:numPr>
        <w:pBdr>
          <w:top w:val="nil"/>
          <w:left w:val="nil"/>
          <w:bottom w:val="nil"/>
          <w:right w:val="nil"/>
          <w:between w:val="nil"/>
          <w:bar w:val="nil"/>
        </w:pBdr>
        <w:spacing w:before="260" w:after="260" w:line="240" w:lineRule="auto"/>
        <w:ind w:hanging="720"/>
        <w:rPr>
          <w:rFonts w:eastAsia="Times New Roman" w:cs="Times New Roman"/>
          <w:color w:val="000000"/>
        </w:rPr>
      </w:pPr>
      <w:bookmarkStart w:id="6" w:name="_Toc2"/>
      <w:bookmarkStart w:id="7" w:name="_Toc18276716"/>
      <w:bookmarkStart w:id="8" w:name="_Toc18313937"/>
      <w:r>
        <w:rPr>
          <w:color w:val="000000"/>
          <w:u w:color="000000"/>
        </w:rPr>
        <w:t>Počátky exe</w:t>
      </w:r>
      <w:r w:rsidRPr="00017F20">
        <w:t>k</w:t>
      </w:r>
      <w:r>
        <w:rPr>
          <w:color w:val="000000"/>
          <w:u w:color="000000"/>
        </w:rPr>
        <w:t>uce</w:t>
      </w:r>
      <w:bookmarkEnd w:id="6"/>
      <w:bookmarkEnd w:id="7"/>
      <w:bookmarkEnd w:id="8"/>
    </w:p>
    <w:p w:rsidR="009B70FF" w:rsidRDefault="009B70FF" w:rsidP="009B70FF">
      <w:pPr>
        <w:pStyle w:val="Default"/>
        <w:spacing w:line="360" w:lineRule="auto"/>
        <w:ind w:firstLine="708"/>
        <w:jc w:val="both"/>
      </w:pPr>
      <w:r>
        <w:t xml:space="preserve">Přibližně ve třetím tisíciletí před naším letopočtem </w:t>
      </w:r>
      <w:r>
        <w:rPr>
          <w:lang w:val="fr-FR"/>
        </w:rPr>
        <w:t>pou</w:t>
      </w:r>
      <w:r>
        <w:t>žívali staří Sumerov</w:t>
      </w:r>
      <w:r>
        <w:rPr>
          <w:lang w:val="fr-FR"/>
        </w:rPr>
        <w:t xml:space="preserve">é </w:t>
      </w:r>
      <w:r>
        <w:rPr>
          <w:lang w:val="de-DE"/>
        </w:rPr>
        <w:t>hlin</w:t>
      </w:r>
      <w:r>
        <w:t>ěn</w:t>
      </w:r>
      <w:r>
        <w:rPr>
          <w:lang w:val="fr-FR"/>
        </w:rPr>
        <w:t xml:space="preserve">é </w:t>
      </w:r>
      <w:r>
        <w:t>tabulky, a to jako psací podklad pro klínov</w:t>
      </w:r>
      <w:r>
        <w:rPr>
          <w:lang w:val="fr-FR"/>
        </w:rPr>
        <w:t xml:space="preserve">é </w:t>
      </w:r>
      <w:r>
        <w:t>písmo. Tabulky sloužily jak k zápisu literární</w:t>
      </w:r>
      <w:r>
        <w:rPr>
          <w:lang w:val="de-DE"/>
        </w:rPr>
        <w:t>ch d</w:t>
      </w:r>
      <w:r>
        <w:t>ě</w:t>
      </w:r>
      <w:r>
        <w:rPr>
          <w:lang w:val="pt-PT"/>
        </w:rPr>
        <w:t>l (Epos o Gilgame</w:t>
      </w:r>
      <w:r>
        <w:t>šovi), tak k zápisu dlužní</w:t>
      </w:r>
      <w:r>
        <w:rPr>
          <w:lang w:val="de-DE"/>
        </w:rPr>
        <w:t xml:space="preserve">ch </w:t>
      </w:r>
      <w:r>
        <w:t xml:space="preserve">úpisů či obchodních smluv. Stejné tabulky byly zároveň </w:t>
      </w:r>
      <w:r>
        <w:rPr>
          <w:lang w:val="fr-FR"/>
        </w:rPr>
        <w:t>pou</w:t>
      </w:r>
      <w:r>
        <w:t>žívány jako platidlo a mohly mezi věřiteli a dlužníky kolovat. Tento syst</w:t>
      </w:r>
      <w:r>
        <w:rPr>
          <w:lang w:val="fr-FR"/>
        </w:rPr>
        <w:t>é</w:t>
      </w:r>
      <w:r>
        <w:t>m mohl fungovat pouze za dvou předpokladů, v prvním případě museli být věřitel a dlužník důvěryhodní, a druhou podmínkou byly nesplacené dluhy, v tomto případě by byla hliněná deska znič</w:t>
      </w:r>
      <w:r>
        <w:rPr>
          <w:lang w:val="it-IT"/>
        </w:rPr>
        <w:t>ena.</w:t>
      </w:r>
      <w:r>
        <w:rPr>
          <w:rStyle w:val="Znakapoznpodarou"/>
        </w:rPr>
        <w:footnoteReference w:id="2"/>
      </w:r>
    </w:p>
    <w:p w:rsidR="009B70FF" w:rsidRDefault="009B70FF" w:rsidP="009B70FF">
      <w:pPr>
        <w:pStyle w:val="Default"/>
        <w:spacing w:line="360" w:lineRule="auto"/>
        <w:ind w:firstLine="348"/>
        <w:jc w:val="both"/>
      </w:pPr>
      <w:r>
        <w:t>Dále nutno zmínit jeden z nejstarších dochovaných zákoníků, a to Chammurapiho zákoník z 18. stol. př. n. l. Zákoník upravoval vztahy mezi třemi společenskými vrstvami. Byli jimi Avílov</w:t>
      </w:r>
      <w:r>
        <w:rPr>
          <w:lang w:val="fr-FR"/>
        </w:rPr>
        <w:t xml:space="preserve">é </w:t>
      </w:r>
      <w:r>
        <w:t>(jednalo se o nejbohatší a privilegovanou vrstvu), Mušk</w:t>
      </w:r>
      <w:r>
        <w:rPr>
          <w:lang w:val="fr-FR"/>
        </w:rPr>
        <w:t>é</w:t>
      </w:r>
      <w:r>
        <w:t>ni (byly neprivilegovanými, ale svobodnými obyvateli) a poslední společenská vrstva, a to otroci (nesvobodní). Zákoník se zabý</w:t>
      </w:r>
      <w:r>
        <w:rPr>
          <w:lang w:val="nl-NL"/>
        </w:rPr>
        <w:t>val v</w:t>
      </w:r>
      <w:r>
        <w:t>ýkladem zvykov</w:t>
      </w:r>
      <w:r>
        <w:rPr>
          <w:lang w:val="fr-FR"/>
        </w:rPr>
        <w:t>é</w:t>
      </w:r>
      <w:r>
        <w:t>ho práva, jenž zahrnoval právní otázky ve věcech násilný</w:t>
      </w:r>
      <w:r>
        <w:rPr>
          <w:lang w:val="de-DE"/>
        </w:rPr>
        <w:t xml:space="preserve">ch </w:t>
      </w:r>
      <w:r>
        <w:t>činů, cen a mezd, majetku a soukrom</w:t>
      </w:r>
      <w:r>
        <w:rPr>
          <w:lang w:val="fr-FR"/>
        </w:rPr>
        <w:t>é</w:t>
      </w:r>
      <w:r>
        <w:t>ho vlastnictví, ale tak</w:t>
      </w:r>
      <w:r>
        <w:rPr>
          <w:lang w:val="fr-FR"/>
        </w:rPr>
        <w:t xml:space="preserve">é </w:t>
      </w:r>
      <w:r>
        <w:t>postavení společenských vrstev. Zákoník upravoval vztahy mezi věřiteli a dlužníky, ale i půjčky a jejich splácení. V zákoníku bylo zahrnuto velmi krut</w:t>
      </w:r>
      <w:r>
        <w:rPr>
          <w:lang w:val="fr-FR"/>
        </w:rPr>
        <w:t xml:space="preserve">é </w:t>
      </w:r>
      <w:r>
        <w:t>zacházení s nesvobodnými obyvateli- otroky.</w:t>
      </w:r>
      <w:r>
        <w:rPr>
          <w:rStyle w:val="Znakapoznpodarou"/>
        </w:rPr>
        <w:footnoteReference w:id="3"/>
      </w:r>
    </w:p>
    <w:p w:rsidR="009B70FF" w:rsidRDefault="009B70FF" w:rsidP="007A2179">
      <w:pPr>
        <w:pStyle w:val="Nadpis2"/>
        <w:numPr>
          <w:ilvl w:val="1"/>
          <w:numId w:val="33"/>
        </w:numPr>
        <w:pBdr>
          <w:top w:val="nil"/>
          <w:left w:val="nil"/>
          <w:bottom w:val="nil"/>
          <w:right w:val="nil"/>
          <w:between w:val="nil"/>
          <w:bar w:val="nil"/>
        </w:pBdr>
        <w:spacing w:before="260" w:after="260" w:line="240" w:lineRule="auto"/>
        <w:ind w:hanging="578"/>
        <w:rPr>
          <w:rFonts w:eastAsia="Times New Roman" w:cs="Times New Roman"/>
          <w:color w:val="000000"/>
        </w:rPr>
      </w:pPr>
      <w:bookmarkStart w:id="9" w:name="_Toc3"/>
      <w:bookmarkStart w:id="10" w:name="_Toc18276717"/>
      <w:bookmarkStart w:id="11" w:name="_Toc18313938"/>
      <w:r>
        <w:rPr>
          <w:color w:val="000000"/>
          <w:u w:color="000000"/>
        </w:rPr>
        <w:t>Exekuce v </w:t>
      </w:r>
      <w:bookmarkEnd w:id="9"/>
      <w:r>
        <w:rPr>
          <w:color w:val="000000"/>
          <w:u w:color="000000"/>
        </w:rPr>
        <w:t>římském právu</w:t>
      </w:r>
      <w:bookmarkEnd w:id="10"/>
      <w:bookmarkEnd w:id="11"/>
    </w:p>
    <w:p w:rsidR="009B70FF" w:rsidRDefault="009B70FF" w:rsidP="009B70FF">
      <w:pPr>
        <w:pStyle w:val="Default"/>
        <w:spacing w:line="360" w:lineRule="auto"/>
        <w:ind w:firstLine="708"/>
        <w:jc w:val="both"/>
      </w:pPr>
      <w:r>
        <w:t xml:space="preserve">Nejvýznamnější historické záznamy týkající se exekučního práva můžeme najít v právu římském. Jedná </w:t>
      </w:r>
      <w:r>
        <w:rPr>
          <w:lang w:val="pt-PT"/>
        </w:rPr>
        <w:t>se o Z</w:t>
      </w:r>
      <w:r>
        <w:t>ákon dvanácti desek, který vznikl jako dohoda či kompromis mezi patriciji a plebeji. Př</w:t>
      </w:r>
      <w:r>
        <w:rPr>
          <w:lang w:val="it-IT"/>
        </w:rPr>
        <w:t>esto</w:t>
      </w:r>
      <w:r>
        <w:t>že byli plebejov</w:t>
      </w:r>
      <w:r>
        <w:rPr>
          <w:lang w:val="fr-FR"/>
        </w:rPr>
        <w:t xml:space="preserve">é </w:t>
      </w:r>
      <w:r>
        <w:t>svobodní občan</w:t>
      </w:r>
      <w:r>
        <w:rPr>
          <w:lang w:val="fr-FR"/>
        </w:rPr>
        <w:t>é</w:t>
      </w:r>
      <w:r>
        <w:t xml:space="preserve">, větší </w:t>
      </w:r>
      <w:r>
        <w:rPr>
          <w:lang w:val="it-IT"/>
        </w:rPr>
        <w:t>privilegia m</w:t>
      </w:r>
      <w:r>
        <w:t>ě</w:t>
      </w:r>
      <w:r>
        <w:rPr>
          <w:lang w:val="it-IT"/>
        </w:rPr>
        <w:t>li patriciov</w:t>
      </w:r>
      <w:r>
        <w:rPr>
          <w:lang w:val="fr-FR"/>
        </w:rPr>
        <w:t>é</w:t>
      </w:r>
      <w:r>
        <w:t>. Plebejov</w:t>
      </w:r>
      <w:r>
        <w:rPr>
          <w:lang w:val="fr-FR"/>
        </w:rPr>
        <w:t xml:space="preserve">é </w:t>
      </w:r>
      <w:r>
        <w:t xml:space="preserve">tudíž požadovali stejná práva. Na tento popud byl sepsán již zmíněný Zákon dvanácti desek, přičemž každá deska obsahovala několik zákonů. Exekuční právo bylo v Zákoně dvanácti desek upraveno velmi krutým způsobem. </w:t>
      </w:r>
      <w:r>
        <w:rPr>
          <w:rStyle w:val="Znakapoznpodarou"/>
        </w:rPr>
        <w:footnoteReference w:id="4"/>
      </w:r>
    </w:p>
    <w:p w:rsidR="009B70FF" w:rsidRDefault="009B70FF" w:rsidP="009B70FF">
      <w:pPr>
        <w:pStyle w:val="Default"/>
        <w:spacing w:line="360" w:lineRule="auto"/>
        <w:ind w:firstLine="708"/>
        <w:jc w:val="both"/>
      </w:pPr>
      <w:r>
        <w:t xml:space="preserve">Takzvaná osobní neboli personální exekuce, kde dlužník za nesplacení dluhu odpovídal svojí vlastní osobou, byla upravena ve třetí </w:t>
      </w:r>
      <w:r>
        <w:rPr>
          <w:lang w:val="it-IT"/>
        </w:rPr>
        <w:t>desce Z</w:t>
      </w:r>
      <w:r>
        <w:t>ákona dvanácti desek, a to následovně:</w:t>
      </w:r>
    </w:p>
    <w:p w:rsidR="009B70FF" w:rsidRDefault="009B70FF" w:rsidP="009B70FF">
      <w:pPr>
        <w:rPr>
          <w:rFonts w:eastAsia="Times New Roman" w:cs="Times New Roman"/>
          <w:i/>
          <w:iCs/>
          <w:szCs w:val="24"/>
        </w:rPr>
      </w:pPr>
      <w:r>
        <w:rPr>
          <w:szCs w:val="24"/>
        </w:rPr>
        <w:t>„</w:t>
      </w:r>
      <w:r>
        <w:rPr>
          <w:i/>
          <w:iCs/>
          <w:szCs w:val="24"/>
        </w:rPr>
        <w:t>1. Těm, kteří uznali dluh a byli řádně odsouzeni, budiž dáno zá</w:t>
      </w:r>
      <w:r>
        <w:rPr>
          <w:i/>
          <w:iCs/>
          <w:szCs w:val="24"/>
          <w:lang w:val="de-DE"/>
        </w:rPr>
        <w:t>konn</w:t>
      </w:r>
      <w:r>
        <w:rPr>
          <w:i/>
          <w:iCs/>
          <w:szCs w:val="24"/>
        </w:rPr>
        <w:t>ých 30 dnů.</w:t>
      </w:r>
    </w:p>
    <w:p w:rsidR="009B70FF" w:rsidRDefault="009B70FF" w:rsidP="009B70FF">
      <w:pPr>
        <w:rPr>
          <w:rFonts w:eastAsia="Times New Roman" w:cs="Times New Roman"/>
          <w:i/>
          <w:iCs/>
          <w:szCs w:val="24"/>
        </w:rPr>
      </w:pPr>
      <w:r>
        <w:rPr>
          <w:i/>
          <w:iCs/>
          <w:szCs w:val="24"/>
        </w:rPr>
        <w:t>2. Teprve pot</w:t>
      </w:r>
      <w:r>
        <w:rPr>
          <w:i/>
          <w:iCs/>
          <w:szCs w:val="24"/>
          <w:lang w:val="fr-FR"/>
        </w:rPr>
        <w:t xml:space="preserve">é </w:t>
      </w:r>
      <w:r>
        <w:rPr>
          <w:i/>
          <w:iCs/>
          <w:szCs w:val="24"/>
        </w:rPr>
        <w:t xml:space="preserve">budiž </w:t>
      </w:r>
      <w:r>
        <w:rPr>
          <w:i/>
          <w:iCs/>
          <w:szCs w:val="24"/>
          <w:lang w:val="nl-NL"/>
        </w:rPr>
        <w:t>vlo</w:t>
      </w:r>
      <w:r>
        <w:rPr>
          <w:i/>
          <w:iCs/>
          <w:szCs w:val="24"/>
        </w:rPr>
        <w:t>žena ruka. Ať ho vede před soud.</w:t>
      </w:r>
    </w:p>
    <w:p w:rsidR="009B70FF" w:rsidRDefault="009B70FF" w:rsidP="009B70FF">
      <w:pPr>
        <w:rPr>
          <w:rFonts w:eastAsia="Times New Roman" w:cs="Times New Roman"/>
          <w:i/>
          <w:iCs/>
          <w:szCs w:val="24"/>
        </w:rPr>
      </w:pPr>
      <w:r>
        <w:rPr>
          <w:i/>
          <w:iCs/>
          <w:szCs w:val="24"/>
        </w:rPr>
        <w:t>3. Nesplní-li rozsudek a nezaručí-li se nikdo za něj na soudě, ať ho odvede s sebou, spoutá ho buď provazem, nebo okovy o váze 15 liber, ne těžšími, nebo pokud bude chtít, lehčími.</w:t>
      </w:r>
    </w:p>
    <w:p w:rsidR="009B70FF" w:rsidRDefault="009B70FF" w:rsidP="009B70FF">
      <w:pPr>
        <w:rPr>
          <w:rFonts w:eastAsia="Times New Roman" w:cs="Times New Roman"/>
          <w:i/>
          <w:iCs/>
          <w:szCs w:val="24"/>
        </w:rPr>
      </w:pPr>
      <w:r>
        <w:rPr>
          <w:i/>
          <w:iCs/>
          <w:szCs w:val="24"/>
        </w:rPr>
        <w:t>4. Jestliže chce, ať žije ze sv</w:t>
      </w:r>
      <w:r>
        <w:rPr>
          <w:i/>
          <w:iCs/>
          <w:szCs w:val="24"/>
          <w:lang w:val="fr-FR"/>
        </w:rPr>
        <w:t>é</w:t>
      </w:r>
      <w:r>
        <w:rPr>
          <w:i/>
          <w:iCs/>
          <w:szCs w:val="24"/>
        </w:rPr>
        <w:t>ho. Pokud nežije ze sv</w:t>
      </w:r>
      <w:r>
        <w:rPr>
          <w:i/>
          <w:iCs/>
          <w:szCs w:val="24"/>
          <w:lang w:val="fr-FR"/>
        </w:rPr>
        <w:t>é</w:t>
      </w:r>
      <w:r>
        <w:rPr>
          <w:i/>
          <w:iCs/>
          <w:szCs w:val="24"/>
          <w:lang w:val="pt-PT"/>
        </w:rPr>
        <w:t>ho, a</w:t>
      </w:r>
      <w:r>
        <w:rPr>
          <w:i/>
          <w:iCs/>
          <w:szCs w:val="24"/>
        </w:rPr>
        <w:t>ť ten, kdo ho drží v poutech, mu dává den libru mouky. Pokud chce, ať dává více.</w:t>
      </w:r>
    </w:p>
    <w:p w:rsidR="009B70FF" w:rsidRDefault="009B70FF" w:rsidP="009B70FF">
      <w:pPr>
        <w:rPr>
          <w:rFonts w:eastAsia="Times New Roman" w:cs="Times New Roman"/>
          <w:szCs w:val="24"/>
        </w:rPr>
      </w:pPr>
      <w:r>
        <w:rPr>
          <w:i/>
          <w:iCs/>
          <w:szCs w:val="24"/>
        </w:rPr>
        <w:t>5. Třetího trhov</w:t>
      </w:r>
      <w:r>
        <w:rPr>
          <w:i/>
          <w:iCs/>
          <w:szCs w:val="24"/>
          <w:lang w:val="fr-FR"/>
        </w:rPr>
        <w:t>é</w:t>
      </w:r>
      <w:r>
        <w:rPr>
          <w:i/>
          <w:iCs/>
          <w:szCs w:val="24"/>
        </w:rPr>
        <w:t>ho dne ať rozsekají na části. Useknou-li si více či m</w:t>
      </w:r>
      <w:r>
        <w:rPr>
          <w:i/>
          <w:iCs/>
          <w:szCs w:val="24"/>
          <w:lang w:val="fr-FR"/>
        </w:rPr>
        <w:t>é</w:t>
      </w:r>
      <w:r>
        <w:rPr>
          <w:i/>
          <w:iCs/>
          <w:szCs w:val="24"/>
        </w:rPr>
        <w:t>ně, ať jim to neškodí.</w:t>
      </w:r>
      <w:r>
        <w:rPr>
          <w:szCs w:val="24"/>
        </w:rPr>
        <w:t>“</w:t>
      </w:r>
      <w:r>
        <w:rPr>
          <w:rFonts w:eastAsia="Times New Roman" w:cs="Times New Roman"/>
          <w:szCs w:val="24"/>
          <w:vertAlign w:val="superscript"/>
        </w:rPr>
        <w:footnoteReference w:id="5"/>
      </w:r>
    </w:p>
    <w:p w:rsidR="009B70FF" w:rsidRDefault="009B70FF" w:rsidP="009B70FF">
      <w:pPr>
        <w:ind w:firstLine="708"/>
        <w:rPr>
          <w:rFonts w:eastAsia="Times New Roman" w:cs="Times New Roman"/>
          <w:szCs w:val="24"/>
        </w:rPr>
      </w:pPr>
      <w:r>
        <w:rPr>
          <w:szCs w:val="24"/>
        </w:rPr>
        <w:t xml:space="preserve">Jak již bylo výše zmíněno, exekuce dle Zákona dvanácti desek, byla velmi krutá. Nalézací řízení </w:t>
      </w:r>
      <w:r>
        <w:rPr>
          <w:szCs w:val="24"/>
          <w:lang w:val="it-IT"/>
        </w:rPr>
        <w:t>se sestávalo</w:t>
      </w:r>
      <w:r>
        <w:rPr>
          <w:szCs w:val="24"/>
        </w:rPr>
        <w:t xml:space="preserve"> ze dvou fází, první probíhala před</w:t>
      </w:r>
      <w:r>
        <w:rPr>
          <w:szCs w:val="24"/>
          <w:lang w:val="en-US"/>
        </w:rPr>
        <w:t xml:space="preserve"> prétorem</w:t>
      </w:r>
      <w:r>
        <w:rPr>
          <w:szCs w:val="24"/>
        </w:rPr>
        <w:t xml:space="preserve"> (in iure) a následovalo řízení před soudem (apud iudicem). Nutno dodat, že v římsk</w:t>
      </w:r>
      <w:r>
        <w:rPr>
          <w:szCs w:val="24"/>
          <w:lang w:val="fr-FR"/>
        </w:rPr>
        <w:t>é</w:t>
      </w:r>
      <w:r>
        <w:rPr>
          <w:szCs w:val="24"/>
          <w:lang w:val="pt-PT"/>
        </w:rPr>
        <w:t>m pr</w:t>
      </w:r>
      <w:r>
        <w:rPr>
          <w:szCs w:val="24"/>
        </w:rPr>
        <w:t>ávu byla absence institutu soudního exekutora, tak jak jej známe v dnešní době, jelikož funkce státního úředníka byla bezplatná. Pr</w:t>
      </w:r>
      <w:r>
        <w:rPr>
          <w:szCs w:val="24"/>
          <w:lang w:val="fr-FR"/>
        </w:rPr>
        <w:t>é</w:t>
      </w:r>
      <w:r>
        <w:rPr>
          <w:szCs w:val="24"/>
        </w:rPr>
        <w:t>tor, jakož</w:t>
      </w:r>
      <w:r>
        <w:rPr>
          <w:szCs w:val="24"/>
          <w:lang w:val="en-US"/>
        </w:rPr>
        <w:t xml:space="preserve">to </w:t>
      </w:r>
      <w:r>
        <w:rPr>
          <w:szCs w:val="24"/>
        </w:rPr>
        <w:t>úředník vykonávající exekuci nepobíral odměnu ani v případě úspěšn</w:t>
      </w:r>
      <w:r>
        <w:rPr>
          <w:szCs w:val="24"/>
          <w:lang w:val="fr-FR"/>
        </w:rPr>
        <w:t>é</w:t>
      </w:r>
      <w:r>
        <w:rPr>
          <w:szCs w:val="24"/>
        </w:rPr>
        <w:t xml:space="preserve">ho vymožení dluhu. </w:t>
      </w:r>
      <w:r>
        <w:rPr>
          <w:rFonts w:eastAsia="Times New Roman" w:cs="Times New Roman"/>
          <w:szCs w:val="24"/>
          <w:vertAlign w:val="superscript"/>
        </w:rPr>
        <w:footnoteReference w:id="6"/>
      </w:r>
    </w:p>
    <w:p w:rsidR="009B70FF" w:rsidRDefault="009B70FF" w:rsidP="009B70FF">
      <w:pPr>
        <w:ind w:firstLine="708"/>
        <w:rPr>
          <w:rFonts w:eastAsia="Times New Roman" w:cs="Times New Roman"/>
          <w:i/>
          <w:iCs/>
          <w:szCs w:val="24"/>
        </w:rPr>
      </w:pPr>
      <w:r>
        <w:rPr>
          <w:szCs w:val="24"/>
        </w:rPr>
        <w:t>Exekuční řízení jako takové</w:t>
      </w:r>
      <w:r>
        <w:rPr>
          <w:szCs w:val="24"/>
          <w:lang w:val="fr-FR"/>
        </w:rPr>
        <w:t xml:space="preserve"> </w:t>
      </w:r>
      <w:r>
        <w:rPr>
          <w:szCs w:val="24"/>
        </w:rPr>
        <w:t>probíhalo následovně: Pokud sám dlužník dluh dobrovolně uznal nebo k němu byl odsouzen, byl zároveň vydán rozsudek (sententia). To znamenalo definitivní uznání práva oprávněn</w:t>
      </w:r>
      <w:r>
        <w:rPr>
          <w:szCs w:val="24"/>
          <w:lang w:val="fr-FR"/>
        </w:rPr>
        <w:t>é</w:t>
      </w:r>
      <w:r>
        <w:rPr>
          <w:szCs w:val="24"/>
        </w:rPr>
        <w:t xml:space="preserve">ho na uvedení věcí </w:t>
      </w:r>
      <w:r>
        <w:rPr>
          <w:szCs w:val="24"/>
          <w:lang w:val="pt-PT"/>
        </w:rPr>
        <w:t>do p</w:t>
      </w:r>
      <w:r>
        <w:rPr>
          <w:szCs w:val="24"/>
        </w:rPr>
        <w:t>ůvodního stavu, tedy vymožení dluhu. Dle římsk</w:t>
      </w:r>
      <w:r>
        <w:rPr>
          <w:szCs w:val="24"/>
          <w:lang w:val="fr-FR"/>
        </w:rPr>
        <w:t>é</w:t>
      </w:r>
      <w:r>
        <w:rPr>
          <w:szCs w:val="24"/>
        </w:rPr>
        <w:t>ho práva měl dlužník 30 dní na vyrovnání dluhu. Po t</w:t>
      </w:r>
      <w:r>
        <w:rPr>
          <w:szCs w:val="24"/>
          <w:lang w:val="fr-FR"/>
        </w:rPr>
        <w:t>é</w:t>
      </w:r>
      <w:r>
        <w:rPr>
          <w:szCs w:val="24"/>
        </w:rPr>
        <w:t>to době měl věř</w:t>
      </w:r>
      <w:r>
        <w:rPr>
          <w:szCs w:val="24"/>
          <w:lang w:val="it-IT"/>
        </w:rPr>
        <w:t>itel pr</w:t>
      </w:r>
      <w:r>
        <w:rPr>
          <w:szCs w:val="24"/>
        </w:rPr>
        <w:t>ávo zcela ovládnout dlužníka. Římský právník Gaius se k tomu vyjádřil doslova následovně</w:t>
      </w:r>
      <w:r>
        <w:rPr>
          <w:rFonts w:eastAsia="Times New Roman" w:cs="Times New Roman"/>
          <w:szCs w:val="24"/>
          <w:vertAlign w:val="superscript"/>
        </w:rPr>
        <w:footnoteReference w:id="7"/>
      </w:r>
      <w:r>
        <w:rPr>
          <w:szCs w:val="24"/>
        </w:rPr>
        <w:t>: „</w:t>
      </w:r>
      <w:r>
        <w:rPr>
          <w:i/>
          <w:iCs/>
          <w:szCs w:val="24"/>
        </w:rPr>
        <w:t>Protože jsi z rozsudku povinen (či protože jsi odsouzen) zaplatit 10 tisí</w:t>
      </w:r>
      <w:r>
        <w:rPr>
          <w:i/>
          <w:iCs/>
          <w:szCs w:val="24"/>
          <w:lang w:val="fr-FR"/>
        </w:rPr>
        <w:t>c sesterci</w:t>
      </w:r>
      <w:r>
        <w:rPr>
          <w:i/>
          <w:iCs/>
          <w:szCs w:val="24"/>
        </w:rPr>
        <w:t>ů, proto já, jelikož jsi nezaplatil, vkládám na tebe ruku, a přitom se chopil nějaké části dlužníkova těla. A nebylo dovoleno, aby odsouzený ruku odstrč</w:t>
      </w:r>
      <w:r>
        <w:rPr>
          <w:i/>
          <w:iCs/>
          <w:szCs w:val="24"/>
          <w:lang w:val="fr-FR"/>
        </w:rPr>
        <w:t>il a s</w:t>
      </w:r>
      <w:r>
        <w:rPr>
          <w:i/>
          <w:iCs/>
          <w:szCs w:val="24"/>
        </w:rPr>
        <w:t>ám se pomocí legisakce brá</w:t>
      </w:r>
      <w:r>
        <w:rPr>
          <w:i/>
          <w:iCs/>
          <w:szCs w:val="24"/>
          <w:lang w:val="pt-PT"/>
        </w:rPr>
        <w:t>nil; ale d</w:t>
      </w:r>
      <w:r>
        <w:rPr>
          <w:i/>
          <w:iCs/>
          <w:szCs w:val="24"/>
        </w:rPr>
        <w:t>á</w:t>
      </w:r>
      <w:r>
        <w:rPr>
          <w:i/>
          <w:iCs/>
          <w:szCs w:val="24"/>
          <w:lang w:val="nl-NL"/>
        </w:rPr>
        <w:t>val z</w:t>
      </w:r>
      <w:r>
        <w:rPr>
          <w:i/>
          <w:iCs/>
          <w:szCs w:val="24"/>
        </w:rPr>
        <w:t>ástupce, který potom vedl spor jeho jm</w:t>
      </w:r>
      <w:r>
        <w:rPr>
          <w:i/>
          <w:iCs/>
          <w:szCs w:val="24"/>
          <w:lang w:val="fr-FR"/>
        </w:rPr>
        <w:t>é</w:t>
      </w:r>
      <w:r>
        <w:rPr>
          <w:i/>
          <w:iCs/>
          <w:szCs w:val="24"/>
        </w:rPr>
        <w:t>nem. Kdo zástupce nedal, bý</w:t>
      </w:r>
      <w:r>
        <w:rPr>
          <w:i/>
          <w:iCs/>
          <w:szCs w:val="24"/>
          <w:lang w:val="nl-NL"/>
        </w:rPr>
        <w:t xml:space="preserve">val </w:t>
      </w:r>
      <w:r>
        <w:rPr>
          <w:i/>
          <w:iCs/>
          <w:szCs w:val="24"/>
        </w:rPr>
        <w:t>žalobcem odvádě</w:t>
      </w:r>
      <w:r>
        <w:rPr>
          <w:i/>
          <w:iCs/>
          <w:szCs w:val="24"/>
          <w:lang w:val="es-ES_tradnl"/>
        </w:rPr>
        <w:t>n dom</w:t>
      </w:r>
      <w:r>
        <w:rPr>
          <w:i/>
          <w:iCs/>
          <w:szCs w:val="24"/>
        </w:rPr>
        <w:t>ů a svazová</w:t>
      </w:r>
      <w:r>
        <w:rPr>
          <w:i/>
          <w:iCs/>
          <w:szCs w:val="24"/>
          <w:lang w:val="fr-FR"/>
        </w:rPr>
        <w:t>n pouty</w:t>
      </w:r>
      <w:r>
        <w:rPr>
          <w:i/>
          <w:iCs/>
          <w:szCs w:val="24"/>
        </w:rPr>
        <w:t>“</w:t>
      </w:r>
      <w:r>
        <w:rPr>
          <w:rFonts w:eastAsia="Times New Roman" w:cs="Times New Roman"/>
          <w:i/>
          <w:iCs/>
          <w:szCs w:val="24"/>
          <w:vertAlign w:val="superscript"/>
        </w:rPr>
        <w:footnoteReference w:id="8"/>
      </w:r>
    </w:p>
    <w:p w:rsidR="009B70FF" w:rsidRDefault="009B70FF" w:rsidP="009B70FF">
      <w:pPr>
        <w:ind w:firstLine="708"/>
        <w:rPr>
          <w:rFonts w:eastAsia="Times New Roman" w:cs="Times New Roman"/>
          <w:szCs w:val="24"/>
        </w:rPr>
      </w:pPr>
      <w:r>
        <w:rPr>
          <w:szCs w:val="24"/>
        </w:rPr>
        <w:t>Zaplatit dlužnou částku a sejmout věřitelovu ruku z ramene dlužníka mohl Vindex, neboli zástupce věřitele, který jakož</w:t>
      </w:r>
      <w:r>
        <w:rPr>
          <w:szCs w:val="24"/>
          <w:lang w:val="en-US"/>
        </w:rPr>
        <w:t>to ru</w:t>
      </w:r>
      <w:r>
        <w:rPr>
          <w:szCs w:val="24"/>
        </w:rPr>
        <w:t>čitel musel bý</w:t>
      </w:r>
      <w:r>
        <w:rPr>
          <w:szCs w:val="24"/>
          <w:lang w:val="nl-NL"/>
        </w:rPr>
        <w:t>t z</w:t>
      </w:r>
      <w:r>
        <w:rPr>
          <w:szCs w:val="24"/>
        </w:rPr>
        <w:t>ámožný. Pokud vindex vedený spor prohrál, musel zaplatit dvojnásobek. Po dobu 60 dnů mohl být dlužník fakticky drž</w:t>
      </w:r>
      <w:r>
        <w:rPr>
          <w:szCs w:val="24"/>
          <w:lang w:val="nl-NL"/>
        </w:rPr>
        <w:t>en v</w:t>
      </w:r>
      <w:r>
        <w:rPr>
          <w:szCs w:val="24"/>
        </w:rPr>
        <w:t>ěřitelem, nicm</w:t>
      </w:r>
      <w:r>
        <w:rPr>
          <w:szCs w:val="24"/>
          <w:lang w:val="fr-FR"/>
        </w:rPr>
        <w:t>é</w:t>
      </w:r>
      <w:r>
        <w:rPr>
          <w:szCs w:val="24"/>
        </w:rPr>
        <w:t>ně ten ho musel živit. Zároveň dlužníka musel tř</w:t>
      </w:r>
      <w:r>
        <w:rPr>
          <w:szCs w:val="24"/>
          <w:lang w:val="da-DK"/>
        </w:rPr>
        <w:t>ikr</w:t>
      </w:r>
      <w:r>
        <w:rPr>
          <w:szCs w:val="24"/>
        </w:rPr>
        <w:t>át po sobě př</w:t>
      </w:r>
      <w:r>
        <w:rPr>
          <w:szCs w:val="24"/>
          <w:lang w:val="da-DK"/>
        </w:rPr>
        <w:t>edv</w:t>
      </w:r>
      <w:r>
        <w:rPr>
          <w:szCs w:val="24"/>
          <w:lang w:val="fr-FR"/>
        </w:rPr>
        <w:t>é</w:t>
      </w:r>
      <w:r>
        <w:rPr>
          <w:szCs w:val="24"/>
          <w:lang w:val="en-US"/>
        </w:rPr>
        <w:t>st p</w:t>
      </w:r>
      <w:r>
        <w:rPr>
          <w:szCs w:val="24"/>
        </w:rPr>
        <w:t>ř</w:t>
      </w:r>
      <w:r>
        <w:rPr>
          <w:szCs w:val="24"/>
          <w:lang w:val="en-US"/>
        </w:rPr>
        <w:t>ed pr</w:t>
      </w:r>
      <w:r>
        <w:rPr>
          <w:szCs w:val="24"/>
          <w:lang w:val="fr-FR"/>
        </w:rPr>
        <w:t>é</w:t>
      </w:r>
      <w:r>
        <w:rPr>
          <w:szCs w:val="24"/>
          <w:lang w:val="pt-PT"/>
        </w:rPr>
        <w:t>tora a ve</w:t>
      </w:r>
      <w:r>
        <w:rPr>
          <w:szCs w:val="24"/>
        </w:rPr>
        <w:t>řejně vyhlásit, jakou částku dlužník dluží. Na to konto se za dlužníka mohl kdokoliv zaručit, či jej vykoupit. Pokud ani napotřetí dlužníka nikdo nevykoupil, stal se dlužní</w:t>
      </w:r>
      <w:r>
        <w:rPr>
          <w:szCs w:val="24"/>
          <w:lang w:val="nl-NL"/>
        </w:rPr>
        <w:t>k v</w:t>
      </w:r>
      <w:r>
        <w:rPr>
          <w:szCs w:val="24"/>
        </w:rPr>
        <w:t xml:space="preserve">ěřitelovým otrokem a ten s ním mohl nakládat dle libosti, tj. prodat do otroctví </w:t>
      </w:r>
      <w:r>
        <w:rPr>
          <w:szCs w:val="24"/>
          <w:lang w:val="nl-NL"/>
        </w:rPr>
        <w:t xml:space="preserve">(trans Tiberium-za </w:t>
      </w:r>
      <w:r>
        <w:rPr>
          <w:szCs w:val="24"/>
        </w:rPr>
        <w:t>řeku Tiber, tzn. do ciziny) či jej zabít. Roku 326 př. n. l. je vydává</w:t>
      </w:r>
      <w:r>
        <w:rPr>
          <w:szCs w:val="24"/>
          <w:lang w:val="nl-NL"/>
        </w:rPr>
        <w:t>n Poetil</w:t>
      </w:r>
      <w:r>
        <w:rPr>
          <w:szCs w:val="24"/>
        </w:rPr>
        <w:t>ův zá</w:t>
      </w:r>
      <w:r>
        <w:rPr>
          <w:szCs w:val="24"/>
          <w:lang w:val="nl-NL"/>
        </w:rPr>
        <w:t>kon (Lex Poetelia Papiria), a to na z</w:t>
      </w:r>
      <w:r>
        <w:rPr>
          <w:szCs w:val="24"/>
        </w:rPr>
        <w:t xml:space="preserve">ákladě </w:t>
      </w:r>
      <w:r>
        <w:rPr>
          <w:szCs w:val="24"/>
          <w:lang w:val="en-US"/>
        </w:rPr>
        <w:t>bou</w:t>
      </w:r>
      <w:r>
        <w:rPr>
          <w:szCs w:val="24"/>
        </w:rPr>
        <w:t>řících se plebejů, kteří s tímto nesouhlasili. Zákonem bylo zakázá</w:t>
      </w:r>
      <w:r>
        <w:rPr>
          <w:szCs w:val="24"/>
          <w:lang w:val="it-IT"/>
        </w:rPr>
        <w:t>no ve</w:t>
      </w:r>
      <w:r>
        <w:rPr>
          <w:szCs w:val="24"/>
        </w:rPr>
        <w:t>šker</w:t>
      </w:r>
      <w:r>
        <w:rPr>
          <w:szCs w:val="24"/>
          <w:lang w:val="fr-FR"/>
        </w:rPr>
        <w:t xml:space="preserve">é </w:t>
      </w:r>
      <w:r>
        <w:rPr>
          <w:szCs w:val="24"/>
        </w:rPr>
        <w:t>krut</w:t>
      </w:r>
      <w:r>
        <w:rPr>
          <w:szCs w:val="24"/>
          <w:lang w:val="fr-FR"/>
        </w:rPr>
        <w:t xml:space="preserve">é </w:t>
      </w:r>
      <w:r>
        <w:rPr>
          <w:szCs w:val="24"/>
        </w:rPr>
        <w:t xml:space="preserve">zacházení s dlužníkem, včetně jeho usmrcení. Zároveň jím bylo stanoveno: </w:t>
      </w:r>
      <w:r>
        <w:rPr>
          <w:i/>
          <w:iCs/>
          <w:szCs w:val="24"/>
        </w:rPr>
        <w:t>„…</w:t>
      </w:r>
      <w:r>
        <w:rPr>
          <w:i/>
          <w:iCs/>
          <w:szCs w:val="24"/>
          <w:lang w:val="it-IT"/>
        </w:rPr>
        <w:t>.pecunia creditae bona debitoris, non corpus obnoxium esset.</w:t>
      </w:r>
      <w:r>
        <w:rPr>
          <w:i/>
          <w:iCs/>
          <w:szCs w:val="24"/>
        </w:rPr>
        <w:t xml:space="preserve">“  </w:t>
      </w:r>
      <w:r>
        <w:rPr>
          <w:szCs w:val="24"/>
        </w:rPr>
        <w:t xml:space="preserve">Neboli </w:t>
      </w:r>
      <w:r>
        <w:rPr>
          <w:i/>
          <w:iCs/>
          <w:szCs w:val="24"/>
        </w:rPr>
        <w:t>….“za uvěřen</w:t>
      </w:r>
      <w:r>
        <w:rPr>
          <w:i/>
          <w:iCs/>
          <w:szCs w:val="24"/>
          <w:lang w:val="fr-FR"/>
        </w:rPr>
        <w:t xml:space="preserve">é </w:t>
      </w:r>
      <w:r>
        <w:rPr>
          <w:i/>
          <w:iCs/>
          <w:szCs w:val="24"/>
        </w:rPr>
        <w:t>peníze aby ručilo jmění dlužníkovo, a nikoli jeho tě</w:t>
      </w:r>
      <w:r>
        <w:rPr>
          <w:i/>
          <w:iCs/>
          <w:szCs w:val="24"/>
          <w:lang w:val="it-IT"/>
        </w:rPr>
        <w:t>lo.</w:t>
      </w:r>
      <w:r>
        <w:rPr>
          <w:i/>
          <w:iCs/>
          <w:szCs w:val="24"/>
        </w:rPr>
        <w:t xml:space="preserve">“  </w:t>
      </w:r>
      <w:r>
        <w:rPr>
          <w:szCs w:val="24"/>
        </w:rPr>
        <w:t xml:space="preserve">Podle tohoto zákona mohl být dlužník donucen k pracím, jež by jeho dluh vyrovnaly. </w:t>
      </w:r>
      <w:r>
        <w:rPr>
          <w:rFonts w:eastAsia="Times New Roman" w:cs="Times New Roman"/>
          <w:szCs w:val="24"/>
          <w:vertAlign w:val="superscript"/>
        </w:rPr>
        <w:footnoteReference w:id="9"/>
      </w:r>
    </w:p>
    <w:p w:rsidR="009B70FF" w:rsidRDefault="009B70FF" w:rsidP="009B70FF">
      <w:pPr>
        <w:ind w:firstLine="708"/>
        <w:rPr>
          <w:rFonts w:eastAsia="Times New Roman" w:cs="Times New Roman"/>
          <w:szCs w:val="24"/>
        </w:rPr>
      </w:pPr>
      <w:r>
        <w:rPr>
          <w:szCs w:val="24"/>
        </w:rPr>
        <w:t>Na základě ediktu pr</w:t>
      </w:r>
      <w:r>
        <w:rPr>
          <w:szCs w:val="24"/>
          <w:lang w:val="fr-FR"/>
        </w:rPr>
        <w:t>é</w:t>
      </w:r>
      <w:r>
        <w:rPr>
          <w:szCs w:val="24"/>
        </w:rPr>
        <w:t xml:space="preserve">tora Publia Rutilia byla v rámci procesního práva zavedena exekuce majetková, jež </w:t>
      </w:r>
      <w:r>
        <w:rPr>
          <w:szCs w:val="24"/>
          <w:lang w:val="fr-FR"/>
        </w:rPr>
        <w:t>se pou</w:t>
      </w:r>
      <w:r>
        <w:rPr>
          <w:szCs w:val="24"/>
        </w:rPr>
        <w:t>žívala v případě exekuce, která vyplývala z veřejn</w:t>
      </w:r>
      <w:r>
        <w:rPr>
          <w:szCs w:val="24"/>
          <w:lang w:val="fr-FR"/>
        </w:rPr>
        <w:t>é</w:t>
      </w:r>
      <w:r>
        <w:rPr>
          <w:szCs w:val="24"/>
        </w:rPr>
        <w:t>ho práva. Na jejím základě bylo možn</w:t>
      </w:r>
      <w:r>
        <w:rPr>
          <w:szCs w:val="24"/>
          <w:lang w:val="fr-FR"/>
        </w:rPr>
        <w:t xml:space="preserve">é </w:t>
      </w:r>
      <w:r>
        <w:rPr>
          <w:szCs w:val="24"/>
        </w:rPr>
        <w:t>odejmout dlužníkův majetek, jehož hodnota pokryla dluh a uspokojila dlužníkovu pohledávku. Průlomovým zákonem, v oblasti osobní exekuce, byl i Lex Julia, umožňující dlužníkovi postoupení jmění věřiteli, a tím zbavení dlužníkovi bezcennosti. Typickým znakem majetkov</w:t>
      </w:r>
      <w:r>
        <w:rPr>
          <w:szCs w:val="24"/>
          <w:lang w:val="fr-FR"/>
        </w:rPr>
        <w:t xml:space="preserve">é </w:t>
      </w:r>
      <w:r>
        <w:rPr>
          <w:szCs w:val="24"/>
        </w:rPr>
        <w:t>exekuce bylo nezpeněžení majetku, ale jeho převedení jako celku v nezměněn</w:t>
      </w:r>
      <w:r>
        <w:rPr>
          <w:szCs w:val="24"/>
          <w:lang w:val="fr-FR"/>
        </w:rPr>
        <w:t xml:space="preserve">é </w:t>
      </w:r>
      <w:r>
        <w:rPr>
          <w:szCs w:val="24"/>
        </w:rPr>
        <w:t>podobě. K uspokojení pohledávek v t</w:t>
      </w:r>
      <w:r>
        <w:rPr>
          <w:szCs w:val="24"/>
          <w:lang w:val="fr-FR"/>
        </w:rPr>
        <w:t>é</w:t>
      </w:r>
      <w:r>
        <w:rPr>
          <w:szCs w:val="24"/>
        </w:rPr>
        <w:t xml:space="preserve">to době existovalo i konkurzní řízení, </w:t>
      </w:r>
      <w:r>
        <w:rPr>
          <w:szCs w:val="24"/>
          <w:lang w:val="en-US"/>
        </w:rPr>
        <w:t>a to u</w:t>
      </w:r>
      <w:r>
        <w:rPr>
          <w:szCs w:val="24"/>
        </w:rPr>
        <w:t>ž od dob Pr</w:t>
      </w:r>
      <w:r>
        <w:rPr>
          <w:szCs w:val="24"/>
          <w:lang w:val="fr-FR"/>
        </w:rPr>
        <w:t>é</w:t>
      </w:r>
      <w:r>
        <w:rPr>
          <w:szCs w:val="24"/>
          <w:lang w:val="it-IT"/>
        </w:rPr>
        <w:t>tora Rutilia. V</w:t>
      </w:r>
      <w:r>
        <w:rPr>
          <w:szCs w:val="24"/>
        </w:rPr>
        <w:t>šichni dlužníkovi věřitel</w:t>
      </w:r>
      <w:r>
        <w:rPr>
          <w:szCs w:val="24"/>
          <w:lang w:val="fr-FR"/>
        </w:rPr>
        <w:t xml:space="preserve">é </w:t>
      </w:r>
      <w:r>
        <w:rPr>
          <w:szCs w:val="24"/>
        </w:rPr>
        <w:t>byli vyzváni a mohli se se svými pohledávkami společně přihlásit k řízení</w:t>
      </w:r>
      <w:r>
        <w:rPr>
          <w:szCs w:val="24"/>
          <w:lang w:val="it-IT"/>
        </w:rPr>
        <w:t>. Tito v</w:t>
      </w:r>
      <w:r>
        <w:rPr>
          <w:szCs w:val="24"/>
        </w:rPr>
        <w:t>ěřitel</w:t>
      </w:r>
      <w:r>
        <w:rPr>
          <w:szCs w:val="24"/>
          <w:lang w:val="fr-FR"/>
        </w:rPr>
        <w:t xml:space="preserve">é </w:t>
      </w:r>
      <w:r>
        <w:rPr>
          <w:szCs w:val="24"/>
        </w:rPr>
        <w:t>si ze svý</w:t>
      </w:r>
      <w:r>
        <w:rPr>
          <w:szCs w:val="24"/>
          <w:lang w:val="de-DE"/>
        </w:rPr>
        <w:t xml:space="preserve">ch </w:t>
      </w:r>
      <w:r>
        <w:rPr>
          <w:szCs w:val="24"/>
        </w:rPr>
        <w:t>řad zvolili správce (magister bonorum), který dlužníkův majetek prodal kupci, jež nabídl nejvíce a stal se tak zároveň nabyvatelem veškerých dlužníkových aktiv.</w:t>
      </w:r>
      <w:r>
        <w:rPr>
          <w:rFonts w:eastAsia="Times New Roman" w:cs="Times New Roman"/>
          <w:szCs w:val="24"/>
          <w:vertAlign w:val="superscript"/>
        </w:rPr>
        <w:footnoteReference w:id="10"/>
      </w:r>
    </w:p>
    <w:p w:rsidR="009B70FF" w:rsidRDefault="009B70FF" w:rsidP="009B70FF">
      <w:pPr>
        <w:ind w:firstLine="708"/>
        <w:rPr>
          <w:rFonts w:eastAsia="Times New Roman" w:cs="Times New Roman"/>
          <w:szCs w:val="24"/>
        </w:rPr>
      </w:pPr>
      <w:r>
        <w:rPr>
          <w:szCs w:val="24"/>
        </w:rPr>
        <w:t>Uspokojování pohledávek v rámci konkurzu bylo pro věřitele omezeno společným postupem a společným procentem. Jedinou výjimku tvořily pohledávky privilegovan</w:t>
      </w:r>
      <w:r>
        <w:rPr>
          <w:szCs w:val="24"/>
          <w:lang w:val="fr-FR"/>
        </w:rPr>
        <w:t>é</w:t>
      </w:r>
      <w:r>
        <w:rPr>
          <w:szCs w:val="24"/>
        </w:rPr>
        <w:t>. Jednalo se například o pohledávky spojen</w:t>
      </w:r>
      <w:r>
        <w:rPr>
          <w:szCs w:val="24"/>
          <w:lang w:val="fr-FR"/>
        </w:rPr>
        <w:t xml:space="preserve">é </w:t>
      </w:r>
      <w:r>
        <w:rPr>
          <w:szCs w:val="24"/>
        </w:rPr>
        <w:t>s věnem manželky č</w:t>
      </w:r>
      <w:r>
        <w:rPr>
          <w:szCs w:val="24"/>
          <w:lang w:val="it-IT"/>
        </w:rPr>
        <w:t>i d</w:t>
      </w:r>
      <w:r>
        <w:rPr>
          <w:szCs w:val="24"/>
        </w:rPr>
        <w:t xml:space="preserve">ětí, výlohy nemoci, pohřbu, atd..) Konkurz a celkově </w:t>
      </w:r>
      <w:r>
        <w:rPr>
          <w:szCs w:val="24"/>
          <w:lang w:val="pt-PT"/>
        </w:rPr>
        <w:t>exeku</w:t>
      </w:r>
      <w:r>
        <w:rPr>
          <w:szCs w:val="24"/>
        </w:rPr>
        <w:t>ční řízení byl odrazwm nepříznivý</w:t>
      </w:r>
      <w:r>
        <w:rPr>
          <w:szCs w:val="24"/>
          <w:lang w:val="de-DE"/>
        </w:rPr>
        <w:t>ch d</w:t>
      </w:r>
      <w:r>
        <w:rPr>
          <w:szCs w:val="24"/>
        </w:rPr>
        <w:t>ůsledků nesplnění rozsudku dlužníka. Jestliže se dlužník skrýval z důvodu vyhnutí se žalobě, neobhajoval se ve stadiu in iure nebo zemřel bez dědice, postihly jej stejn</w:t>
      </w:r>
      <w:r>
        <w:rPr>
          <w:szCs w:val="24"/>
          <w:lang w:val="fr-FR"/>
        </w:rPr>
        <w:t xml:space="preserve">é </w:t>
      </w:r>
      <w:r>
        <w:rPr>
          <w:szCs w:val="24"/>
        </w:rPr>
        <w:t>důsledky.</w:t>
      </w:r>
      <w:r>
        <w:rPr>
          <w:rFonts w:eastAsia="Times New Roman" w:cs="Times New Roman"/>
          <w:szCs w:val="24"/>
          <w:vertAlign w:val="superscript"/>
        </w:rPr>
        <w:footnoteReference w:id="11"/>
      </w:r>
    </w:p>
    <w:p w:rsidR="009B70FF" w:rsidRDefault="009B70FF" w:rsidP="009B70FF">
      <w:pPr>
        <w:ind w:firstLine="708"/>
        <w:rPr>
          <w:rFonts w:eastAsia="Times New Roman" w:cs="Times New Roman"/>
          <w:szCs w:val="24"/>
        </w:rPr>
      </w:pPr>
      <w:r>
        <w:rPr>
          <w:szCs w:val="24"/>
        </w:rPr>
        <w:t>V pozdním vývoji římsk</w:t>
      </w:r>
      <w:r>
        <w:rPr>
          <w:szCs w:val="24"/>
          <w:lang w:val="fr-FR"/>
        </w:rPr>
        <w:t xml:space="preserve">é </w:t>
      </w:r>
      <w:r>
        <w:rPr>
          <w:szCs w:val="24"/>
        </w:rPr>
        <w:t>právo př</w:t>
      </w:r>
      <w:r>
        <w:rPr>
          <w:szCs w:val="24"/>
          <w:lang w:val="fr-FR"/>
        </w:rPr>
        <w:t>ipou</w:t>
      </w:r>
      <w:r>
        <w:rPr>
          <w:szCs w:val="24"/>
        </w:rPr>
        <w:t>štělo majetkovou exekuci singulární. Tato exekuce postihovala jednotlivé</w:t>
      </w:r>
      <w:r>
        <w:rPr>
          <w:szCs w:val="24"/>
          <w:lang w:val="fr-FR"/>
        </w:rPr>
        <w:t xml:space="preserve"> </w:t>
      </w:r>
      <w:r>
        <w:rPr>
          <w:szCs w:val="24"/>
        </w:rPr>
        <w:t>dlužníkovy věci, a to jak exekucí výjimečnou, tak později pravidelnou. Poté se tak</w:t>
      </w:r>
      <w:r>
        <w:rPr>
          <w:szCs w:val="24"/>
          <w:lang w:val="fr-FR"/>
        </w:rPr>
        <w:t xml:space="preserve">é </w:t>
      </w:r>
      <w:r>
        <w:rPr>
          <w:szCs w:val="24"/>
        </w:rPr>
        <w:t>objevovala možnost vynucení plnění, a to za asistence moci státní (in iura). Pokud se tedy exekuce nezrealizovala prodejem dlužníkova majetku, mohlo dojít k vynucení ozbrojenou silou z </w:t>
      </w:r>
      <w:r>
        <w:rPr>
          <w:szCs w:val="24"/>
          <w:lang w:val="it-IT"/>
        </w:rPr>
        <w:t xml:space="preserve">moci soudce (manu militari officio iudicis) </w:t>
      </w:r>
      <w:r>
        <w:rPr>
          <w:rFonts w:eastAsia="Times New Roman" w:cs="Times New Roman"/>
          <w:szCs w:val="24"/>
          <w:vertAlign w:val="superscript"/>
        </w:rPr>
        <w:footnoteReference w:id="12"/>
      </w:r>
    </w:p>
    <w:p w:rsidR="009B70FF" w:rsidRPr="00396A4C" w:rsidRDefault="009B70FF" w:rsidP="007A2179">
      <w:pPr>
        <w:pStyle w:val="Nadpis2"/>
        <w:numPr>
          <w:ilvl w:val="1"/>
          <w:numId w:val="33"/>
        </w:numPr>
        <w:pBdr>
          <w:top w:val="nil"/>
          <w:left w:val="nil"/>
          <w:bottom w:val="nil"/>
          <w:right w:val="nil"/>
          <w:between w:val="nil"/>
          <w:bar w:val="nil"/>
        </w:pBdr>
        <w:spacing w:before="260" w:after="260"/>
        <w:ind w:hanging="720"/>
        <w:rPr>
          <w:rFonts w:eastAsia="Times New Roman" w:cs="Times New Roman"/>
          <w:color w:val="000000"/>
        </w:rPr>
      </w:pPr>
      <w:bookmarkStart w:id="12" w:name="_Toc18276718"/>
      <w:bookmarkStart w:id="13" w:name="_Toc18313939"/>
      <w:bookmarkStart w:id="14" w:name="_Toc4"/>
      <w:r>
        <w:rPr>
          <w:color w:val="000000"/>
          <w:u w:color="000000"/>
        </w:rPr>
        <w:t>Exekuce podle práva zemsk</w:t>
      </w:r>
      <w:r>
        <w:rPr>
          <w:color w:val="000000"/>
          <w:u w:color="000000"/>
          <w:lang w:val="fr-FR"/>
        </w:rPr>
        <w:t>é</w:t>
      </w:r>
      <w:r>
        <w:rPr>
          <w:color w:val="000000"/>
          <w:u w:color="000000"/>
        </w:rPr>
        <w:t>ho</w:t>
      </w:r>
      <w:bookmarkEnd w:id="12"/>
      <w:bookmarkEnd w:id="13"/>
      <w:r>
        <w:rPr>
          <w:color w:val="000000"/>
          <w:u w:color="000000"/>
        </w:rPr>
        <w:t xml:space="preserve"> </w:t>
      </w:r>
      <w:bookmarkEnd w:id="14"/>
    </w:p>
    <w:p w:rsidR="009B70FF" w:rsidRDefault="009B70FF" w:rsidP="009B70FF">
      <w:pPr>
        <w:pStyle w:val="Default"/>
        <w:spacing w:after="200" w:line="360" w:lineRule="auto"/>
        <w:ind w:firstLine="708"/>
        <w:jc w:val="both"/>
      </w:pPr>
      <w:r>
        <w:t>Exekuční řízení dle zemsk</w:t>
      </w:r>
      <w:r>
        <w:rPr>
          <w:lang w:val="fr-FR"/>
        </w:rPr>
        <w:t>é</w:t>
      </w:r>
      <w:r>
        <w:t>ho práva se vyznačovalo řadou překážek a přílišným formalismem. Bylo tedy nutn</w:t>
      </w:r>
      <w:r>
        <w:rPr>
          <w:lang w:val="fr-FR"/>
        </w:rPr>
        <w:t>é</w:t>
      </w:r>
      <w:r>
        <w:t>, aby účastníkům řízení byla poskytnuta právní pomoc. V t</w:t>
      </w:r>
      <w:r>
        <w:rPr>
          <w:lang w:val="fr-FR"/>
        </w:rPr>
        <w:t>é</w:t>
      </w:r>
      <w:r>
        <w:t xml:space="preserve">to době se již objevují </w:t>
      </w:r>
      <w:r>
        <w:rPr>
          <w:lang w:val="pt-PT"/>
        </w:rPr>
        <w:t>exeku</w:t>
      </w:r>
      <w:r>
        <w:t>ční tituly, na jejichž základě bylo možn</w:t>
      </w:r>
      <w:r>
        <w:rPr>
          <w:lang w:val="fr-FR"/>
        </w:rPr>
        <w:t xml:space="preserve">é </w:t>
      </w:r>
      <w:r>
        <w:t>vymoci povinnosti uložen</w:t>
      </w:r>
      <w:r>
        <w:rPr>
          <w:lang w:val="fr-FR"/>
        </w:rPr>
        <w:t xml:space="preserve">é </w:t>
      </w:r>
      <w:r>
        <w:t>mimosoudně uzavřenými smí</w:t>
      </w:r>
      <w:r>
        <w:rPr>
          <w:lang w:val="en-US"/>
        </w:rPr>
        <w:t xml:space="preserve">ry </w:t>
      </w:r>
      <w:r>
        <w:t>či dohodami. Nicm</w:t>
      </w:r>
      <w:r>
        <w:rPr>
          <w:lang w:val="fr-FR"/>
        </w:rPr>
        <w:t>é</w:t>
      </w:r>
      <w:r>
        <w:t>ně takovým typický</w:t>
      </w:r>
      <w:r>
        <w:rPr>
          <w:lang w:val="pt-PT"/>
        </w:rPr>
        <w:t>m exeku</w:t>
      </w:r>
      <w:r>
        <w:t>čním titulem byl rozsudek zemsk</w:t>
      </w:r>
      <w:r>
        <w:rPr>
          <w:lang w:val="fr-FR"/>
        </w:rPr>
        <w:t>é</w:t>
      </w:r>
      <w:r>
        <w:t>ho, dvorsk</w:t>
      </w:r>
      <w:r>
        <w:rPr>
          <w:lang w:val="fr-FR"/>
        </w:rPr>
        <w:t>é</w:t>
      </w:r>
      <w:r>
        <w:t>ho, purkrabsk</w:t>
      </w:r>
      <w:r>
        <w:rPr>
          <w:lang w:val="fr-FR"/>
        </w:rPr>
        <w:t>é</w:t>
      </w:r>
      <w:r>
        <w:t>ho, komorního či š</w:t>
      </w:r>
      <w:r>
        <w:rPr>
          <w:lang w:val="de-DE"/>
        </w:rPr>
        <w:t>lechtick</w:t>
      </w:r>
      <w:r>
        <w:rPr>
          <w:lang w:val="fr-FR"/>
        </w:rPr>
        <w:t>é</w:t>
      </w:r>
      <w:r>
        <w:t>ho nebo městsk</w:t>
      </w:r>
      <w:r>
        <w:rPr>
          <w:lang w:val="fr-FR"/>
        </w:rPr>
        <w:t>é</w:t>
      </w:r>
      <w:r>
        <w:t>ho soudu. Exekuční řízení bylo rozdělen</w:t>
      </w:r>
      <w:r>
        <w:rPr>
          <w:lang w:val="fr-FR"/>
        </w:rPr>
        <w:t xml:space="preserve">é </w:t>
      </w:r>
      <w:r>
        <w:rPr>
          <w:lang w:val="pt-PT"/>
        </w:rPr>
        <w:t>do n</w:t>
      </w:r>
      <w:r>
        <w:t>ěkolika fází, jež na sebe navazovaly.</w:t>
      </w:r>
      <w:r>
        <w:rPr>
          <w:rStyle w:val="Znakapoznpodarou"/>
        </w:rPr>
        <w:footnoteReference w:id="13"/>
      </w:r>
    </w:p>
    <w:p w:rsidR="009B70FF" w:rsidRDefault="009B70FF" w:rsidP="009B70FF">
      <w:pPr>
        <w:pStyle w:val="Default"/>
        <w:spacing w:after="200" w:line="360" w:lineRule="auto"/>
        <w:ind w:firstLine="708"/>
        <w:jc w:val="both"/>
      </w:pPr>
      <w:r>
        <w:t xml:space="preserve">První fází byla </w:t>
      </w:r>
      <w:r>
        <w:rPr>
          <w:b/>
          <w:bCs/>
          <w:i/>
          <w:iCs/>
        </w:rPr>
        <w:t>úmluva</w:t>
      </w:r>
      <w:r>
        <w:t>. Jednalo se o výzvu ke splnění vymáhan</w:t>
      </w:r>
      <w:r>
        <w:rPr>
          <w:lang w:val="fr-FR"/>
        </w:rPr>
        <w:t xml:space="preserve">é </w:t>
      </w:r>
      <w:r>
        <w:t>povinnosti. Pokud dlužník nesplnil povinnost uloženou rozsudkem, věřitel se dostavil k zemský</w:t>
      </w:r>
      <w:r>
        <w:rPr>
          <w:lang w:val="de-DE"/>
        </w:rPr>
        <w:t>m desk</w:t>
      </w:r>
      <w:r>
        <w:t>ám žá</w:t>
      </w:r>
      <w:r>
        <w:rPr>
          <w:lang w:val="nl-NL"/>
        </w:rPr>
        <w:t>dat pr</w:t>
      </w:r>
      <w:r>
        <w:t xml:space="preserve">ávě </w:t>
      </w:r>
      <w:r>
        <w:rPr>
          <w:lang w:val="en-US"/>
        </w:rPr>
        <w:t xml:space="preserve">o </w:t>
      </w:r>
      <w:r>
        <w:t>úmluvu. Tato úmluva byla zapsána do rejstříku a k dlužníkovi byl s listem na úmluvu vyslán komorník a úmluva musela být provedena během 3 let a 18 neděl. Po marn</w:t>
      </w:r>
      <w:r>
        <w:rPr>
          <w:lang w:val="fr-FR"/>
        </w:rPr>
        <w:t>é</w:t>
      </w:r>
      <w:r>
        <w:t>m uplynutí t</w:t>
      </w:r>
      <w:r>
        <w:rPr>
          <w:lang w:val="fr-FR"/>
        </w:rPr>
        <w:t>é</w:t>
      </w:r>
      <w:r>
        <w:t xml:space="preserve">to doby nastala exekuce, kdy byl dlužník podroben nátlaku. Další fází byl tedy </w:t>
      </w:r>
      <w:r>
        <w:rPr>
          <w:b/>
          <w:bCs/>
          <w:i/>
          <w:iCs/>
        </w:rPr>
        <w:t>zvod</w:t>
      </w:r>
      <w:r>
        <w:t>, neboli list na zvod, který byl opě</w:t>
      </w:r>
      <w:r>
        <w:rPr>
          <w:lang w:val="nl-NL"/>
        </w:rPr>
        <w:t>t doru</w:t>
      </w:r>
      <w:r>
        <w:t>čen komorníkem, na základě něhož byl dlužník nucen vydat nebo zaplatit peněž</w:t>
      </w:r>
      <w:r>
        <w:rPr>
          <w:lang w:val="pt-PT"/>
        </w:rPr>
        <w:t xml:space="preserve">itou </w:t>
      </w:r>
      <w:r>
        <w:t>částku. Dlužník zvod mohl přijmout, a tí</w:t>
      </w:r>
      <w:r>
        <w:rPr>
          <w:lang w:val="pt-PT"/>
        </w:rPr>
        <w:t>m p</w:t>
      </w:r>
      <w:r>
        <w:t>ádem se musel dostavit k zemský</w:t>
      </w:r>
      <w:r>
        <w:rPr>
          <w:lang w:val="de-DE"/>
        </w:rPr>
        <w:t>m desk</w:t>
      </w:r>
      <w:r>
        <w:t xml:space="preserve">ám a vyrovnat dluh či se proti zvodu mohl ohradit a nechat jeho další posouzení úředníkům. </w:t>
      </w:r>
      <w:r>
        <w:rPr>
          <w:rStyle w:val="Znakapoznpodarou"/>
        </w:rPr>
        <w:footnoteReference w:id="14"/>
      </w:r>
    </w:p>
    <w:p w:rsidR="009B70FF" w:rsidRDefault="009B70FF" w:rsidP="009B70FF">
      <w:pPr>
        <w:pStyle w:val="Default"/>
        <w:spacing w:after="200" w:line="360" w:lineRule="auto"/>
        <w:ind w:firstLine="708"/>
        <w:jc w:val="both"/>
      </w:pPr>
      <w:r>
        <w:t xml:space="preserve">Pokud dlužník na zvod nereagoval, následovala další fáze, a to </w:t>
      </w:r>
      <w:r>
        <w:rPr>
          <w:b/>
          <w:bCs/>
          <w:i/>
          <w:iCs/>
        </w:rPr>
        <w:t>obranní list</w:t>
      </w:r>
      <w:r>
        <w:t>. Tato výzva byla vydána úřadem nejvyššího purkrabího, jenž byl nejvyšší</w:t>
      </w:r>
      <w:r>
        <w:rPr>
          <w:lang w:val="pt-PT"/>
        </w:rPr>
        <w:t>m p</w:t>
      </w:r>
      <w:r>
        <w:t>ředstavitelem vý</w:t>
      </w:r>
      <w:r>
        <w:rPr>
          <w:lang w:val="de-DE"/>
        </w:rPr>
        <w:t>konn</w:t>
      </w:r>
      <w:r>
        <w:rPr>
          <w:lang w:val="fr-FR"/>
        </w:rPr>
        <w:t xml:space="preserve">é </w:t>
      </w:r>
      <w:r>
        <w:t>moci. Věřitel se s obranním listem, a za doprovodu zemsk</w:t>
      </w:r>
      <w:r>
        <w:rPr>
          <w:lang w:val="fr-FR"/>
        </w:rPr>
        <w:t>é</w:t>
      </w:r>
      <w:r>
        <w:t>ho holomka, dostavil na statek dlužníka. Zde oznámil rychtáři a poddaným, že je jejich nový</w:t>
      </w:r>
      <w:r>
        <w:rPr>
          <w:lang w:val="pt-PT"/>
        </w:rPr>
        <w:t>m p</w:t>
      </w:r>
      <w:r>
        <w:t>ánem. Jestliže by se dlužník tomuto postupu bránil, nejvyšší purkrabí proti němu mohl svolat hotovost a hrozil by mu i trest smrti. Poslední fáze reáln</w:t>
      </w:r>
      <w:r>
        <w:rPr>
          <w:lang w:val="fr-FR"/>
        </w:rPr>
        <w:t>é</w:t>
      </w:r>
      <w:r>
        <w:rPr>
          <w:lang w:val="pt-PT"/>
        </w:rPr>
        <w:t>ho exeku</w:t>
      </w:r>
      <w:r>
        <w:t xml:space="preserve">čního řízení bylo </w:t>
      </w:r>
      <w:r>
        <w:rPr>
          <w:b/>
          <w:bCs/>
          <w:i/>
          <w:iCs/>
        </w:rPr>
        <w:t>odhádání</w:t>
      </w:r>
      <w:r>
        <w:t xml:space="preserve">, během něhož </w:t>
      </w:r>
      <w:r>
        <w:rPr>
          <w:lang w:val="nl-NL"/>
        </w:rPr>
        <w:t>se v</w:t>
      </w:r>
      <w:r>
        <w:t>ěřitel stal faktickým držitelem dlužníkova statku. List na odhad v t</w:t>
      </w:r>
      <w:r>
        <w:rPr>
          <w:lang w:val="fr-FR"/>
        </w:rPr>
        <w:t>é</w:t>
      </w:r>
      <w:r>
        <w:rPr>
          <w:lang w:val="it-IT"/>
        </w:rPr>
        <w:t>to fázi</w:t>
      </w:r>
      <w:r>
        <w:t xml:space="preserve"> vydával zemský místokomorník a vyzý</w:t>
      </w:r>
      <w:r>
        <w:rPr>
          <w:lang w:val="nl-NL"/>
        </w:rPr>
        <w:t>val v</w:t>
      </w:r>
      <w:r>
        <w:t> něm dlužníka, aby se dostavil do mí</w:t>
      </w:r>
      <w:r>
        <w:rPr>
          <w:lang w:val="it-IT"/>
        </w:rPr>
        <w:t>sta ur</w:t>
      </w:r>
      <w:r>
        <w:t>čen</w:t>
      </w:r>
      <w:r>
        <w:rPr>
          <w:lang w:val="fr-FR"/>
        </w:rPr>
        <w:t>é</w:t>
      </w:r>
      <w:r>
        <w:t>mu k odhádání. Odhádáním se zjištovala cena statku či nemovitosti nebo práv č</w:t>
      </w:r>
      <w:r>
        <w:rPr>
          <w:lang w:val="it-IT"/>
        </w:rPr>
        <w:t>i movit</w:t>
      </w:r>
      <w:r>
        <w:t>ých věcí s nimi spojenými. Úřad místokomorníka byl velmi rizikový, a to především z toho důvodu, že během odhádání byla s výsledkem vždy jedna strana nespokojená.</w:t>
      </w:r>
      <w:r>
        <w:rPr>
          <w:rStyle w:val="Znakapoznpodarou"/>
        </w:rPr>
        <w:footnoteReference w:id="15"/>
      </w:r>
      <w:r>
        <w:t xml:space="preserve"> </w:t>
      </w:r>
    </w:p>
    <w:p w:rsidR="009B70FF" w:rsidRDefault="009B70FF" w:rsidP="009B70FF">
      <w:pPr>
        <w:pStyle w:val="Default"/>
        <w:spacing w:after="200" w:line="360" w:lineRule="auto"/>
        <w:ind w:firstLine="708"/>
        <w:jc w:val="both"/>
      </w:pPr>
      <w:r>
        <w:t>Poslední fází bylo pln</w:t>
      </w:r>
      <w:r>
        <w:rPr>
          <w:lang w:val="fr-FR"/>
        </w:rPr>
        <w:t xml:space="preserve">é </w:t>
      </w:r>
      <w:r>
        <w:rPr>
          <w:b/>
          <w:bCs/>
          <w:i/>
          <w:iCs/>
        </w:rPr>
        <w:t>panování</w:t>
      </w:r>
      <w:r>
        <w:t>, př</w:t>
      </w:r>
      <w:r>
        <w:rPr>
          <w:lang w:val="it-IT"/>
        </w:rPr>
        <w:t>i n</w:t>
      </w:r>
      <w:r>
        <w:t>ěmž asistovali rychtáři, purkrabí, soused</w:t>
      </w:r>
      <w:r>
        <w:rPr>
          <w:lang w:val="fr-FR"/>
        </w:rPr>
        <w:t>é</w:t>
      </w:r>
      <w:r>
        <w:t>, selský lid na vsi a hradská čeleď. Bě</w:t>
      </w:r>
      <w:r>
        <w:rPr>
          <w:lang w:val="en-US"/>
        </w:rPr>
        <w:t>hem t</w:t>
      </w:r>
      <w:r>
        <w:rPr>
          <w:lang w:val="fr-FR"/>
        </w:rPr>
        <w:t>é</w:t>
      </w:r>
      <w:r>
        <w:rPr>
          <w:lang w:val="it-IT"/>
        </w:rPr>
        <w:t>to f</w:t>
      </w:r>
      <w:r>
        <w:t>áze strhl oprávněný za několik došků ze střechy a symbolicky je př</w:t>
      </w:r>
      <w:r>
        <w:rPr>
          <w:lang w:val="nl-NL"/>
        </w:rPr>
        <w:t>ed z</w:t>
      </w:r>
      <w:r>
        <w:t>účastněnými zapálil. Tí</w:t>
      </w:r>
      <w:r>
        <w:rPr>
          <w:lang w:val="it-IT"/>
        </w:rPr>
        <w:t>m dal v</w:t>
      </w:r>
      <w:r>
        <w:t>šem jasně najevo, kdo na statku panuje. Stal se tudíž plnohodnotným majitelem dlužníkovi nemovitosti a v t</w:t>
      </w:r>
      <w:r>
        <w:rPr>
          <w:lang w:val="fr-FR"/>
        </w:rPr>
        <w:t>é</w:t>
      </w:r>
      <w:r>
        <w:rPr>
          <w:lang w:val="it-IT"/>
        </w:rPr>
        <w:t>to fin</w:t>
      </w:r>
      <w:r>
        <w:t>ální fázi již nemohl nikdo podávat žádn</w:t>
      </w:r>
      <w:r>
        <w:rPr>
          <w:lang w:val="fr-FR"/>
        </w:rPr>
        <w:t xml:space="preserve">é </w:t>
      </w:r>
      <w:r>
        <w:t xml:space="preserve">námitky ani klást žádný odpor. </w:t>
      </w:r>
      <w:r>
        <w:rPr>
          <w:rStyle w:val="Znakapoznpodarou"/>
        </w:rPr>
        <w:footnoteReference w:id="16"/>
      </w:r>
    </w:p>
    <w:p w:rsidR="009B70FF" w:rsidRPr="00396A4C" w:rsidRDefault="009B70FF" w:rsidP="007A2179">
      <w:pPr>
        <w:pStyle w:val="Nadpis2"/>
        <w:numPr>
          <w:ilvl w:val="1"/>
          <w:numId w:val="33"/>
        </w:numPr>
        <w:pBdr>
          <w:top w:val="nil"/>
          <w:left w:val="nil"/>
          <w:bottom w:val="nil"/>
          <w:right w:val="nil"/>
          <w:between w:val="nil"/>
          <w:bar w:val="nil"/>
        </w:pBdr>
        <w:spacing w:before="260" w:after="260" w:line="240" w:lineRule="auto"/>
        <w:ind w:hanging="720"/>
        <w:jc w:val="left"/>
        <w:rPr>
          <w:rFonts w:eastAsia="Times New Roman" w:cs="Times New Roman"/>
          <w:color w:val="000000"/>
        </w:rPr>
      </w:pPr>
      <w:bookmarkStart w:id="15" w:name="_Toc5"/>
      <w:bookmarkStart w:id="16" w:name="_Toc18276719"/>
      <w:bookmarkStart w:id="17" w:name="_Toc18313940"/>
      <w:r>
        <w:rPr>
          <w:color w:val="000000"/>
          <w:u w:color="000000"/>
        </w:rPr>
        <w:t>Exekuce v právu městsk</w:t>
      </w:r>
      <w:r>
        <w:rPr>
          <w:color w:val="000000"/>
          <w:u w:color="000000"/>
          <w:lang w:val="fr-FR"/>
        </w:rPr>
        <w:t>é</w:t>
      </w:r>
      <w:r>
        <w:rPr>
          <w:color w:val="000000"/>
          <w:u w:color="000000"/>
        </w:rPr>
        <w:t>m</w:t>
      </w:r>
      <w:bookmarkEnd w:id="15"/>
      <w:bookmarkEnd w:id="16"/>
      <w:bookmarkEnd w:id="17"/>
    </w:p>
    <w:p w:rsidR="009B70FF" w:rsidRDefault="009B70FF" w:rsidP="009B70FF">
      <w:pPr>
        <w:ind w:firstLine="708"/>
        <w:rPr>
          <w:rFonts w:eastAsia="Times New Roman" w:cs="Times New Roman"/>
          <w:szCs w:val="24"/>
        </w:rPr>
      </w:pPr>
      <w:r>
        <w:rPr>
          <w:szCs w:val="24"/>
        </w:rPr>
        <w:t>Oproti právu zemsk</w:t>
      </w:r>
      <w:r>
        <w:rPr>
          <w:szCs w:val="24"/>
          <w:lang w:val="fr-FR"/>
        </w:rPr>
        <w:t>é</w:t>
      </w:r>
      <w:r>
        <w:rPr>
          <w:szCs w:val="24"/>
        </w:rPr>
        <w:t>mu bylo městsk</w:t>
      </w:r>
      <w:r>
        <w:rPr>
          <w:szCs w:val="24"/>
          <w:lang w:val="fr-FR"/>
        </w:rPr>
        <w:t xml:space="preserve">é </w:t>
      </w:r>
      <w:r>
        <w:rPr>
          <w:szCs w:val="24"/>
        </w:rPr>
        <w:t>právo mnohem rychlejší a efektivnější a bylo oproštěno od formalismu. O upuštění od formalismu svědčil i rozsudek, jenž byl pokládán za výzvu dlužníkovi k plnění a nemuselo tedy docházet k upomínacímu řízení, tj. úmluvě, jako v právu zemsk</w:t>
      </w:r>
      <w:r>
        <w:rPr>
          <w:szCs w:val="24"/>
          <w:lang w:val="fr-FR"/>
        </w:rPr>
        <w:t>é</w:t>
      </w:r>
      <w:r>
        <w:rPr>
          <w:szCs w:val="24"/>
        </w:rPr>
        <w:t>m.</w:t>
      </w:r>
      <w:r>
        <w:rPr>
          <w:rFonts w:eastAsia="Times New Roman" w:cs="Times New Roman"/>
          <w:szCs w:val="24"/>
          <w:vertAlign w:val="superscript"/>
        </w:rPr>
        <w:footnoteReference w:id="17"/>
      </w:r>
      <w:r>
        <w:rPr>
          <w:szCs w:val="24"/>
        </w:rPr>
        <w:t xml:space="preserve"> </w:t>
      </w:r>
    </w:p>
    <w:p w:rsidR="009B70FF" w:rsidRDefault="009B70FF" w:rsidP="009B70FF">
      <w:pPr>
        <w:ind w:firstLine="708"/>
        <w:rPr>
          <w:rFonts w:eastAsia="Times New Roman" w:cs="Times New Roman"/>
          <w:szCs w:val="24"/>
        </w:rPr>
      </w:pPr>
      <w:r>
        <w:rPr>
          <w:szCs w:val="24"/>
        </w:rPr>
        <w:t xml:space="preserve">Obdobnou fází byl zvod, který byl mnohem rychlejší. Soudce se zeptal dlužníka, zdali souhlasí a pokud dlužník zvod přijmul, odevzdal </w:t>
      </w:r>
      <w:r>
        <w:rPr>
          <w:szCs w:val="24"/>
          <w:lang w:val="nl-NL"/>
        </w:rPr>
        <w:t>v</w:t>
      </w:r>
      <w:r>
        <w:rPr>
          <w:szCs w:val="24"/>
        </w:rPr>
        <w:t>ěřiteli klíče od domu, pokud nesouhlasil, podal proti rozhodnutí odpor. V případě dlužníkovi nečinnosti se tento proces mohl po 14 dnech opakovat. Fáze zvodu a uvedení věřitele v držbu byla u dlužníkova domu sjednána silou. Veškeré úkony se zaznamenávaly do městsk</w:t>
      </w:r>
      <w:r>
        <w:rPr>
          <w:szCs w:val="24"/>
          <w:lang w:val="fr-FR"/>
        </w:rPr>
        <w:t xml:space="preserve">é </w:t>
      </w:r>
      <w:r>
        <w:rPr>
          <w:szCs w:val="24"/>
        </w:rPr>
        <w:t>knihy.</w:t>
      </w:r>
      <w:r>
        <w:rPr>
          <w:rFonts w:eastAsia="Times New Roman" w:cs="Times New Roman"/>
          <w:szCs w:val="24"/>
          <w:vertAlign w:val="superscript"/>
        </w:rPr>
        <w:footnoteReference w:id="18"/>
      </w:r>
      <w:r>
        <w:rPr>
          <w:szCs w:val="24"/>
        </w:rPr>
        <w:t xml:space="preserve"> </w:t>
      </w:r>
    </w:p>
    <w:p w:rsidR="009B70FF" w:rsidRDefault="009B70FF" w:rsidP="009B70FF">
      <w:pPr>
        <w:ind w:firstLine="708"/>
        <w:rPr>
          <w:rFonts w:eastAsia="Times New Roman" w:cs="Times New Roman"/>
          <w:szCs w:val="24"/>
        </w:rPr>
      </w:pPr>
      <w:r>
        <w:rPr>
          <w:szCs w:val="24"/>
        </w:rPr>
        <w:t xml:space="preserve">Držba u rozsudků </w:t>
      </w:r>
      <w:r>
        <w:rPr>
          <w:szCs w:val="24"/>
          <w:lang w:val="it-IT"/>
        </w:rPr>
        <w:t>na pen</w:t>
      </w:r>
      <w:r>
        <w:rPr>
          <w:szCs w:val="24"/>
        </w:rPr>
        <w:t>ěžit</w:t>
      </w:r>
      <w:r>
        <w:rPr>
          <w:szCs w:val="24"/>
          <w:lang w:val="fr-FR"/>
        </w:rPr>
        <w:t xml:space="preserve">é </w:t>
      </w:r>
      <w:r>
        <w:rPr>
          <w:szCs w:val="24"/>
        </w:rPr>
        <w:t>plnění</w:t>
      </w:r>
      <w:r>
        <w:rPr>
          <w:szCs w:val="24"/>
          <w:lang w:val="fr-FR"/>
        </w:rPr>
        <w:t xml:space="preserve"> </w:t>
      </w:r>
      <w:r>
        <w:rPr>
          <w:szCs w:val="24"/>
        </w:rPr>
        <w:t>trvala rok a den. Věřiteli v t</w:t>
      </w:r>
      <w:r>
        <w:rPr>
          <w:szCs w:val="24"/>
          <w:lang w:val="fr-FR"/>
        </w:rPr>
        <w:t>é</w:t>
      </w:r>
      <w:r>
        <w:rPr>
          <w:szCs w:val="24"/>
        </w:rPr>
        <w:t>to době náležely platy, kter</w:t>
      </w:r>
      <w:r>
        <w:rPr>
          <w:szCs w:val="24"/>
          <w:lang w:val="fr-FR"/>
        </w:rPr>
        <w:t xml:space="preserve">é </w:t>
      </w:r>
      <w:r>
        <w:rPr>
          <w:szCs w:val="24"/>
        </w:rPr>
        <w:t>vyplývaly z držby nemovitosti, jednalo se o činže od nájemců. Tato nemovitost mohla být pronajata jak</w:t>
      </w:r>
      <w:r>
        <w:rPr>
          <w:szCs w:val="24"/>
          <w:lang w:val="fr-FR"/>
        </w:rPr>
        <w:t>é</w:t>
      </w:r>
      <w:r>
        <w:rPr>
          <w:szCs w:val="24"/>
        </w:rPr>
        <w:t xml:space="preserve">koliv třetí osobě, a to dokonce i dlužníkovi samotnémuu. Tato nucená </w:t>
      </w:r>
      <w:r>
        <w:rPr>
          <w:szCs w:val="24"/>
          <w:lang w:val="de-DE"/>
        </w:rPr>
        <w:t>spr</w:t>
      </w:r>
      <w:r>
        <w:rPr>
          <w:szCs w:val="24"/>
        </w:rPr>
        <w:t>áva trvala většinou rok a š</w:t>
      </w:r>
      <w:r>
        <w:rPr>
          <w:szCs w:val="24"/>
          <w:lang w:val="en-US"/>
        </w:rPr>
        <w:t>est t</w:t>
      </w:r>
      <w:r>
        <w:rPr>
          <w:szCs w:val="24"/>
        </w:rPr>
        <w:t>ýdnů</w:t>
      </w:r>
      <w:r>
        <w:rPr>
          <w:szCs w:val="24"/>
          <w:lang w:val="it-IT"/>
        </w:rPr>
        <w:t>. Pokud ani po t</w:t>
      </w:r>
      <w:r>
        <w:rPr>
          <w:szCs w:val="24"/>
          <w:lang w:val="fr-FR"/>
        </w:rPr>
        <w:t>é</w:t>
      </w:r>
      <w:r>
        <w:rPr>
          <w:szCs w:val="24"/>
        </w:rPr>
        <w:t>to době nebyl dluh splacen, následovala další fáze exekuce, která mohla končit následujícími způsoby. Nucená sprá</w:t>
      </w:r>
      <w:r>
        <w:rPr>
          <w:szCs w:val="24"/>
          <w:lang w:val="it-IT"/>
        </w:rPr>
        <w:t>va a bran</w:t>
      </w:r>
      <w:r>
        <w:rPr>
          <w:szCs w:val="24"/>
        </w:rPr>
        <w:t>í užitků z ní mohlo pokračovat. Pot</w:t>
      </w:r>
      <w:r>
        <w:rPr>
          <w:szCs w:val="24"/>
          <w:lang w:val="fr-FR"/>
        </w:rPr>
        <w:t xml:space="preserve">é </w:t>
      </w:r>
      <w:r>
        <w:rPr>
          <w:szCs w:val="24"/>
        </w:rPr>
        <w:t>bylo možn</w:t>
      </w:r>
      <w:r>
        <w:rPr>
          <w:szCs w:val="24"/>
          <w:lang w:val="fr-FR"/>
        </w:rPr>
        <w:t xml:space="preserve">é </w:t>
      </w:r>
      <w:r>
        <w:rPr>
          <w:szCs w:val="24"/>
        </w:rPr>
        <w:t>nemovitost prodat tzv. z voln</w:t>
      </w:r>
      <w:r>
        <w:rPr>
          <w:szCs w:val="24"/>
          <w:lang w:val="fr-FR"/>
        </w:rPr>
        <w:t xml:space="preserve">é </w:t>
      </w:r>
      <w:r>
        <w:rPr>
          <w:szCs w:val="24"/>
        </w:rPr>
        <w:t>ruky, ale muselo být zaruč</w:t>
      </w:r>
      <w:r>
        <w:rPr>
          <w:szCs w:val="24"/>
          <w:lang w:val="it-IT"/>
        </w:rPr>
        <w:t xml:space="preserve">eno, </w:t>
      </w:r>
      <w:r>
        <w:rPr>
          <w:szCs w:val="24"/>
        </w:rPr>
        <w:t>že všichni ostatní věřitel</w:t>
      </w:r>
      <w:r>
        <w:rPr>
          <w:szCs w:val="24"/>
          <w:lang w:val="fr-FR"/>
        </w:rPr>
        <w:t xml:space="preserve">é </w:t>
      </w:r>
      <w:r>
        <w:rPr>
          <w:szCs w:val="24"/>
        </w:rPr>
        <w:t>budou uspokojeni z výtěžku z prodeje. Dále tak</w:t>
      </w:r>
      <w:r>
        <w:rPr>
          <w:szCs w:val="24"/>
          <w:lang w:val="fr-FR"/>
        </w:rPr>
        <w:t xml:space="preserve">é </w:t>
      </w:r>
      <w:r>
        <w:rPr>
          <w:szCs w:val="24"/>
        </w:rPr>
        <w:t>mohlo bý</w:t>
      </w:r>
      <w:r>
        <w:rPr>
          <w:szCs w:val="24"/>
          <w:lang w:val="fr-FR"/>
        </w:rPr>
        <w:t>t po</w:t>
      </w:r>
      <w:r>
        <w:rPr>
          <w:szCs w:val="24"/>
        </w:rPr>
        <w:t>žádáno o soudní odhad ceny nemovitosti a její následn</w:t>
      </w:r>
      <w:r>
        <w:rPr>
          <w:szCs w:val="24"/>
          <w:lang w:val="fr-FR"/>
        </w:rPr>
        <w:t xml:space="preserve">é </w:t>
      </w:r>
      <w:r>
        <w:rPr>
          <w:szCs w:val="24"/>
        </w:rPr>
        <w:t>přiřčení do vlastnictví, nicm</w:t>
      </w:r>
      <w:r>
        <w:rPr>
          <w:szCs w:val="24"/>
          <w:lang w:val="fr-FR"/>
        </w:rPr>
        <w:t>é</w:t>
      </w:r>
      <w:r>
        <w:rPr>
          <w:szCs w:val="24"/>
        </w:rPr>
        <w:t>ně nejspravedlivější cenu nemovitosti bylo možn</w:t>
      </w:r>
      <w:r>
        <w:rPr>
          <w:szCs w:val="24"/>
          <w:lang w:val="fr-FR"/>
        </w:rPr>
        <w:t xml:space="preserve">é </w:t>
      </w:r>
      <w:r>
        <w:rPr>
          <w:szCs w:val="24"/>
        </w:rPr>
        <w:t>zjistit teprve až v dražbě. Co se týče dražby, tak to byl poměrně nový nástroj prodeje. V českých zemích byla prosazena v roce 1712 a to pragramatikou.</w:t>
      </w:r>
      <w:r>
        <w:rPr>
          <w:rFonts w:eastAsia="Times New Roman" w:cs="Times New Roman"/>
          <w:szCs w:val="24"/>
          <w:vertAlign w:val="superscript"/>
        </w:rPr>
        <w:footnoteReference w:id="19"/>
      </w:r>
      <w:r>
        <w:rPr>
          <w:szCs w:val="24"/>
        </w:rPr>
        <w:t xml:space="preserve"> </w:t>
      </w:r>
    </w:p>
    <w:p w:rsidR="009B70FF" w:rsidRPr="00881DD3" w:rsidRDefault="009B70FF" w:rsidP="007A2179">
      <w:pPr>
        <w:pStyle w:val="Nadpis2"/>
        <w:numPr>
          <w:ilvl w:val="1"/>
          <w:numId w:val="33"/>
        </w:numPr>
        <w:pBdr>
          <w:top w:val="nil"/>
          <w:left w:val="nil"/>
          <w:bottom w:val="nil"/>
          <w:right w:val="nil"/>
          <w:between w:val="nil"/>
          <w:bar w:val="nil"/>
        </w:pBdr>
        <w:spacing w:before="260" w:after="260"/>
        <w:ind w:hanging="720"/>
        <w:rPr>
          <w:rFonts w:eastAsia="Times New Roman" w:cs="Times New Roman"/>
          <w:color w:val="000000"/>
        </w:rPr>
      </w:pPr>
      <w:bookmarkStart w:id="18" w:name="_Toc6"/>
      <w:bookmarkStart w:id="19" w:name="_Toc18276720"/>
      <w:bookmarkStart w:id="20" w:name="_Toc18313941"/>
      <w:r>
        <w:rPr>
          <w:color w:val="000000"/>
          <w:u w:color="000000"/>
        </w:rPr>
        <w:t>Exekuce v době osvícenství</w:t>
      </w:r>
      <w:bookmarkEnd w:id="18"/>
      <w:bookmarkEnd w:id="19"/>
      <w:bookmarkEnd w:id="20"/>
    </w:p>
    <w:p w:rsidR="009B70FF" w:rsidRDefault="009B70FF" w:rsidP="009B70FF">
      <w:pPr>
        <w:ind w:firstLine="708"/>
        <w:rPr>
          <w:rFonts w:eastAsia="Times New Roman" w:cs="Times New Roman"/>
          <w:szCs w:val="24"/>
        </w:rPr>
      </w:pPr>
      <w:r>
        <w:rPr>
          <w:szCs w:val="24"/>
        </w:rPr>
        <w:t>Josefí</w:t>
      </w:r>
      <w:r>
        <w:rPr>
          <w:szCs w:val="24"/>
          <w:lang w:val="da-DK"/>
        </w:rPr>
        <w:t>nsk</w:t>
      </w:r>
      <w:r>
        <w:rPr>
          <w:szCs w:val="24"/>
          <w:lang w:val="fr-FR"/>
        </w:rPr>
        <w:t xml:space="preserve">é </w:t>
      </w:r>
      <w:r>
        <w:rPr>
          <w:szCs w:val="24"/>
        </w:rPr>
        <w:t>a západohaličsk</w:t>
      </w:r>
      <w:r>
        <w:rPr>
          <w:szCs w:val="24"/>
          <w:lang w:val="fr-FR"/>
        </w:rPr>
        <w:t xml:space="preserve">é </w:t>
      </w:r>
      <w:r>
        <w:rPr>
          <w:szCs w:val="24"/>
        </w:rPr>
        <w:t>právo přineslo spoustu nových pojmů. V t</w:t>
      </w:r>
      <w:r>
        <w:rPr>
          <w:szCs w:val="24"/>
          <w:lang w:val="fr-FR"/>
        </w:rPr>
        <w:t>é</w:t>
      </w:r>
      <w:r>
        <w:rPr>
          <w:szCs w:val="24"/>
        </w:rPr>
        <w:t>to době se rozlišovala exekuce zajišťovací a uhrazovací. Stejně tak byl již znám i personální a reální arest. Císař Josef II. roku 1781 vydává obecný soudní řád, který ovlivnil vývoj obč</w:t>
      </w:r>
      <w:r>
        <w:rPr>
          <w:szCs w:val="24"/>
          <w:lang w:val="da-DK"/>
        </w:rPr>
        <w:t>ansk</w:t>
      </w:r>
      <w:r>
        <w:rPr>
          <w:szCs w:val="24"/>
          <w:lang w:val="fr-FR"/>
        </w:rPr>
        <w:t>é</w:t>
      </w:r>
      <w:r>
        <w:rPr>
          <w:szCs w:val="24"/>
        </w:rPr>
        <w:t xml:space="preserve">ho soudního řízení </w:t>
      </w:r>
      <w:r>
        <w:rPr>
          <w:szCs w:val="24"/>
          <w:lang w:val="it-IT"/>
        </w:rPr>
        <w:t>na dal</w:t>
      </w:r>
      <w:r>
        <w:rPr>
          <w:szCs w:val="24"/>
        </w:rPr>
        <w:t>ších sto let. Roku 1848 v ně</w:t>
      </w:r>
      <w:r>
        <w:rPr>
          <w:szCs w:val="24"/>
          <w:lang w:val="pt-PT"/>
        </w:rPr>
        <w:t>m do</w:t>
      </w:r>
      <w:r>
        <w:rPr>
          <w:szCs w:val="24"/>
        </w:rPr>
        <w:t>šlo k dílčím změnám. Zavedeno bylo především upomínkové řízení (zákon č. 67/1873 ř. z.) Pokud dlužná částka dosahovala 200 zlatých, umožňovalo toto řízení žadateli podat neformální žádost a odeslat odpůrci na jejím základě platební rozkaz, dlužník pak měl na zaplacení peněžit</w:t>
      </w:r>
      <w:r>
        <w:rPr>
          <w:szCs w:val="24"/>
          <w:lang w:val="fr-FR"/>
        </w:rPr>
        <w:t xml:space="preserve">é </w:t>
      </w:r>
      <w:r>
        <w:rPr>
          <w:szCs w:val="24"/>
        </w:rPr>
        <w:t>pohledávky 14 dní. Pokud odpůrce nevydal zastupitelnou nemovitost, mohl podat odpor proti rozkazu, čímž se rozkaz zruš</w:t>
      </w:r>
      <w:r>
        <w:rPr>
          <w:szCs w:val="24"/>
          <w:lang w:val="pt-PT"/>
        </w:rPr>
        <w:t>il.</w:t>
      </w:r>
      <w:r>
        <w:rPr>
          <w:rFonts w:eastAsia="Times New Roman" w:cs="Times New Roman"/>
          <w:szCs w:val="24"/>
          <w:vertAlign w:val="superscript"/>
        </w:rPr>
        <w:footnoteReference w:id="20"/>
      </w:r>
      <w:r>
        <w:rPr>
          <w:szCs w:val="24"/>
        </w:rPr>
        <w:t xml:space="preserve"> </w:t>
      </w:r>
    </w:p>
    <w:p w:rsidR="009B70FF" w:rsidRDefault="009B70FF" w:rsidP="009B70FF">
      <w:pPr>
        <w:ind w:firstLine="708"/>
        <w:rPr>
          <w:rFonts w:eastAsia="Times New Roman" w:cs="Times New Roman"/>
          <w:szCs w:val="24"/>
        </w:rPr>
      </w:pPr>
      <w:r>
        <w:rPr>
          <w:szCs w:val="24"/>
        </w:rPr>
        <w:t>Velký</w:t>
      </w:r>
      <w:r>
        <w:rPr>
          <w:szCs w:val="24"/>
          <w:lang w:val="pt-PT"/>
        </w:rPr>
        <w:t>m p</w:t>
      </w:r>
      <w:r>
        <w:rPr>
          <w:szCs w:val="24"/>
        </w:rPr>
        <w:t>řínosem pro sociálně slabší vrstvy obyvatelstva byly nov</w:t>
      </w:r>
      <w:r>
        <w:rPr>
          <w:szCs w:val="24"/>
          <w:lang w:val="fr-FR"/>
        </w:rPr>
        <w:t xml:space="preserve">é </w:t>
      </w:r>
      <w:r>
        <w:rPr>
          <w:szCs w:val="24"/>
          <w:lang w:val="pt-PT"/>
        </w:rPr>
        <w:t>exeku</w:t>
      </w:r>
      <w:r>
        <w:rPr>
          <w:szCs w:val="24"/>
        </w:rPr>
        <w:t>ční předpisy, jež vylučovaly z exekuce spoustu movitých věcí a oddělen</w:t>
      </w:r>
      <w:r>
        <w:rPr>
          <w:szCs w:val="24"/>
          <w:lang w:val="fr-FR"/>
        </w:rPr>
        <w:t xml:space="preserve">é </w:t>
      </w:r>
      <w:r>
        <w:rPr>
          <w:szCs w:val="24"/>
        </w:rPr>
        <w:t>příslušenství nemovitostí. Dále byly přínosn</w:t>
      </w:r>
      <w:r>
        <w:rPr>
          <w:szCs w:val="24"/>
          <w:lang w:val="fr-FR"/>
        </w:rPr>
        <w:t xml:space="preserve">é </w:t>
      </w:r>
      <w:r>
        <w:rPr>
          <w:szCs w:val="24"/>
        </w:rPr>
        <w:t>předpisy, jež vylučovaly z exekuce plat a jin</w:t>
      </w:r>
      <w:r>
        <w:rPr>
          <w:szCs w:val="24"/>
          <w:lang w:val="fr-FR"/>
        </w:rPr>
        <w:t xml:space="preserve">é </w:t>
      </w:r>
      <w:r>
        <w:rPr>
          <w:szCs w:val="24"/>
        </w:rPr>
        <w:t>služební příjmy dosahující původně na 600 zlatých, později 800 zlatých a u výslužn</w:t>
      </w:r>
      <w:r>
        <w:rPr>
          <w:szCs w:val="24"/>
          <w:lang w:val="fr-FR"/>
        </w:rPr>
        <w:t>é</w:t>
      </w:r>
      <w:r>
        <w:rPr>
          <w:szCs w:val="24"/>
          <w:lang w:val="it-IT"/>
        </w:rPr>
        <w:t>ho a dal</w:t>
      </w:r>
      <w:r>
        <w:rPr>
          <w:szCs w:val="24"/>
        </w:rPr>
        <w:t>ších jemu podobných příjmů 500 zlatých. Toto omezení zároveň s jejich účinností nebylo možn</w:t>
      </w:r>
      <w:r>
        <w:rPr>
          <w:szCs w:val="24"/>
          <w:lang w:val="fr-FR"/>
        </w:rPr>
        <w:t xml:space="preserve">é </w:t>
      </w:r>
      <w:r>
        <w:rPr>
          <w:szCs w:val="24"/>
        </w:rPr>
        <w:t>vyloučit žádný</w:t>
      </w:r>
      <w:r>
        <w:rPr>
          <w:szCs w:val="24"/>
          <w:lang w:val="pt-PT"/>
        </w:rPr>
        <w:t>m pr</w:t>
      </w:r>
      <w:r>
        <w:rPr>
          <w:szCs w:val="24"/>
        </w:rPr>
        <w:t>ávním jednáním, a to ani úmluvou.</w:t>
      </w:r>
      <w:r>
        <w:rPr>
          <w:rFonts w:eastAsia="Times New Roman" w:cs="Times New Roman"/>
          <w:szCs w:val="24"/>
          <w:vertAlign w:val="superscript"/>
        </w:rPr>
        <w:footnoteReference w:id="21"/>
      </w:r>
      <w:r>
        <w:rPr>
          <w:szCs w:val="24"/>
        </w:rPr>
        <w:t xml:space="preserve"> </w:t>
      </w:r>
    </w:p>
    <w:p w:rsidR="009B70FF" w:rsidRDefault="009B70FF" w:rsidP="009B70FF">
      <w:pPr>
        <w:ind w:firstLine="708"/>
        <w:rPr>
          <w:rFonts w:eastAsia="Times New Roman" w:cs="Times New Roman"/>
          <w:szCs w:val="24"/>
        </w:rPr>
      </w:pPr>
      <w:r>
        <w:rPr>
          <w:szCs w:val="24"/>
          <w:lang w:val="de-DE"/>
        </w:rPr>
        <w:t>Zah</w:t>
      </w:r>
      <w:r>
        <w:rPr>
          <w:szCs w:val="24"/>
        </w:rPr>
        <w:t xml:space="preserve">ájení exekuce bylo ponecháno na návrhu věřitele, tedy na zásadě dispoziční. Exekuci prováděl soud a byla buď </w:t>
      </w:r>
      <w:r>
        <w:rPr>
          <w:szCs w:val="24"/>
          <w:lang w:val="it-IT"/>
        </w:rPr>
        <w:t>person</w:t>
      </w:r>
      <w:r>
        <w:rPr>
          <w:szCs w:val="24"/>
        </w:rPr>
        <w:t>ální, nebo speciální. Soud mohl zastupovat ve věcech exekuce soudní komisař či zřízenec soudu. Stále byla zachová</w:t>
      </w:r>
      <w:r>
        <w:rPr>
          <w:szCs w:val="24"/>
          <w:lang w:val="it-IT"/>
        </w:rPr>
        <w:t>na person</w:t>
      </w:r>
      <w:r>
        <w:rPr>
          <w:szCs w:val="24"/>
        </w:rPr>
        <w:t>ální exekuce v podobě dlužnick</w:t>
      </w:r>
      <w:r>
        <w:rPr>
          <w:szCs w:val="24"/>
          <w:lang w:val="fr-FR"/>
        </w:rPr>
        <w:t xml:space="preserve">é </w:t>
      </w:r>
      <w:r>
        <w:rPr>
          <w:szCs w:val="24"/>
        </w:rPr>
        <w:t>vazby. Tato byla odstraněna až roku 1868 podle vzoru Francie. Personální arest spočíval ve vazbě, která mohla trvat maximálně 6 měsíců, a dlužník se z ní mohl vykoupit kaucí. Vazba mohla skončit i na základě věřitelova pozdního podání příslušné žaloby, nebo pokud byla žaloba zamítnuta. Věřitel pak musel dlužníkovi nahradit způsobenou újmu.</w:t>
      </w:r>
      <w:r>
        <w:rPr>
          <w:rFonts w:eastAsia="Times New Roman" w:cs="Times New Roman"/>
          <w:szCs w:val="24"/>
          <w:vertAlign w:val="superscript"/>
        </w:rPr>
        <w:footnoteReference w:id="22"/>
      </w:r>
    </w:p>
    <w:p w:rsidR="009B70FF" w:rsidRDefault="009B70FF" w:rsidP="007A2179">
      <w:pPr>
        <w:pStyle w:val="Nadpis2"/>
        <w:numPr>
          <w:ilvl w:val="1"/>
          <w:numId w:val="33"/>
        </w:numPr>
        <w:pBdr>
          <w:top w:val="nil"/>
          <w:left w:val="nil"/>
          <w:bottom w:val="nil"/>
          <w:right w:val="nil"/>
          <w:between w:val="nil"/>
          <w:bar w:val="nil"/>
        </w:pBdr>
        <w:spacing w:before="260" w:after="260"/>
        <w:ind w:hanging="720"/>
        <w:rPr>
          <w:rFonts w:eastAsia="Times New Roman" w:cs="Times New Roman"/>
          <w:color w:val="000000"/>
        </w:rPr>
      </w:pPr>
      <w:bookmarkStart w:id="21" w:name="_Toc7"/>
      <w:bookmarkStart w:id="22" w:name="_Toc18276721"/>
      <w:bookmarkStart w:id="23" w:name="_Toc18313942"/>
      <w:r>
        <w:rPr>
          <w:color w:val="000000"/>
          <w:u w:color="000000"/>
        </w:rPr>
        <w:t>Exekuční právo od roku 1895 do roku 1963</w:t>
      </w:r>
      <w:bookmarkEnd w:id="21"/>
      <w:bookmarkEnd w:id="22"/>
      <w:bookmarkEnd w:id="23"/>
    </w:p>
    <w:p w:rsidR="009B70FF" w:rsidRDefault="009B70FF" w:rsidP="009B70FF">
      <w:pPr>
        <w:ind w:firstLine="708"/>
        <w:rPr>
          <w:rFonts w:eastAsia="Times New Roman" w:cs="Times New Roman"/>
          <w:szCs w:val="24"/>
        </w:rPr>
      </w:pPr>
      <w:r>
        <w:rPr>
          <w:szCs w:val="24"/>
        </w:rPr>
        <w:t>Rok 1895 byl důležitým mezníkem pro vývoj procesního prá</w:t>
      </w:r>
      <w:r>
        <w:rPr>
          <w:szCs w:val="24"/>
          <w:lang w:val="it-IT"/>
        </w:rPr>
        <w:t>va a p</w:t>
      </w:r>
      <w:r>
        <w:rPr>
          <w:szCs w:val="24"/>
        </w:rPr>
        <w:t>ředevší</w:t>
      </w:r>
      <w:r>
        <w:rPr>
          <w:szCs w:val="24"/>
          <w:lang w:val="pt-PT"/>
        </w:rPr>
        <w:t>m pr</w:t>
      </w:r>
      <w:r>
        <w:rPr>
          <w:szCs w:val="24"/>
        </w:rPr>
        <w:t>á</w:t>
      </w:r>
      <w:r>
        <w:rPr>
          <w:szCs w:val="24"/>
          <w:lang w:val="pt-PT"/>
        </w:rPr>
        <w:t>va exeku</w:t>
      </w:r>
      <w:r>
        <w:rPr>
          <w:szCs w:val="24"/>
        </w:rPr>
        <w:t>čního. Byla totiž vydána ř</w:t>
      </w:r>
      <w:r>
        <w:rPr>
          <w:szCs w:val="24"/>
          <w:lang w:val="pt-PT"/>
        </w:rPr>
        <w:t>ada pr</w:t>
      </w:r>
      <w:r>
        <w:rPr>
          <w:szCs w:val="24"/>
        </w:rPr>
        <w:t>ávních předpisů, kter</w:t>
      </w:r>
      <w:r>
        <w:rPr>
          <w:szCs w:val="24"/>
          <w:lang w:val="fr-FR"/>
        </w:rPr>
        <w:t xml:space="preserve">é </w:t>
      </w:r>
      <w:r>
        <w:rPr>
          <w:szCs w:val="24"/>
        </w:rPr>
        <w:t>upravovaly jednotlivá stádia civilního řízení, složení soudů a jejich organizaci. Tento rok je spjatý s vydáním nov</w:t>
      </w:r>
      <w:r>
        <w:rPr>
          <w:szCs w:val="24"/>
          <w:lang w:val="fr-FR"/>
        </w:rPr>
        <w:t>é</w:t>
      </w:r>
      <w:r>
        <w:rPr>
          <w:szCs w:val="24"/>
        </w:rPr>
        <w:t>ho civilního soudního řádu s uvozovacím zákonem (zákony č. 112/1895 ř. z. a č. 113/1895 ř. z.) a tzv. jurisdikční normy s uvozovacím zákonem (zákony č. 110/1895 ř. z. a č. 111/1895 ř. z.). Nicm</w:t>
      </w:r>
      <w:r>
        <w:rPr>
          <w:szCs w:val="24"/>
          <w:lang w:val="fr-FR"/>
        </w:rPr>
        <w:t>é</w:t>
      </w:r>
      <w:r>
        <w:rPr>
          <w:szCs w:val="24"/>
        </w:rPr>
        <w:t>ně nejdůležitější</w:t>
      </w:r>
      <w:r>
        <w:rPr>
          <w:szCs w:val="24"/>
          <w:lang w:val="pt-PT"/>
        </w:rPr>
        <w:t>m pr</w:t>
      </w:r>
      <w:r>
        <w:rPr>
          <w:szCs w:val="24"/>
        </w:rPr>
        <w:t xml:space="preserve">ávním dokumentem pro exekuční řízení byl nový </w:t>
      </w:r>
      <w:r>
        <w:rPr>
          <w:szCs w:val="24"/>
          <w:lang w:val="pt-PT"/>
        </w:rPr>
        <w:t>exeku</w:t>
      </w:r>
      <w:r>
        <w:rPr>
          <w:szCs w:val="24"/>
        </w:rPr>
        <w:t xml:space="preserve">ční řád s uvozovacím zákonem (zákony č. 78/1896 ř. z. a č. 76/1896 ř. z). Zákon se skládal ze dvou částí, a to z části exekuce, jež obsahovala všeobecná ustanovení, způsoby provedení exekuce a jejich specifika a druhé části, obsahující </w:t>
      </w:r>
      <w:r>
        <w:rPr>
          <w:szCs w:val="24"/>
          <w:lang w:val="pt-PT"/>
        </w:rPr>
        <w:t>exeku</w:t>
      </w:r>
      <w:r>
        <w:rPr>
          <w:szCs w:val="24"/>
        </w:rPr>
        <w:t>ční úkony k zajištění peněžitých pohledávek.</w:t>
      </w:r>
      <w:r>
        <w:rPr>
          <w:rFonts w:eastAsia="Times New Roman" w:cs="Times New Roman"/>
          <w:szCs w:val="24"/>
          <w:vertAlign w:val="superscript"/>
        </w:rPr>
        <w:footnoteReference w:id="23"/>
      </w:r>
      <w:r>
        <w:rPr>
          <w:szCs w:val="24"/>
        </w:rPr>
        <w:t xml:space="preserve"> </w:t>
      </w:r>
    </w:p>
    <w:p w:rsidR="009B70FF" w:rsidRDefault="009B70FF" w:rsidP="009B70FF">
      <w:pPr>
        <w:ind w:firstLine="708"/>
        <w:rPr>
          <w:rFonts w:eastAsia="Times New Roman" w:cs="Times New Roman"/>
          <w:szCs w:val="24"/>
        </w:rPr>
      </w:pPr>
      <w:r>
        <w:rPr>
          <w:szCs w:val="24"/>
        </w:rPr>
        <w:t>Po vzniku první republiky docházelo k intenzivním pracím na rekodifikaci procesního práva, zároveň došlo k úpravá</w:t>
      </w:r>
      <w:r>
        <w:rPr>
          <w:szCs w:val="24"/>
          <w:lang w:val="pt-PT"/>
        </w:rPr>
        <w:t>m exeku</w:t>
      </w:r>
      <w:r>
        <w:rPr>
          <w:szCs w:val="24"/>
        </w:rPr>
        <w:t>čního řádu. V první fázi československého legislativního procesu došlo k největší úpravě zákona č</w:t>
      </w:r>
      <w:r>
        <w:rPr>
          <w:szCs w:val="24"/>
          <w:lang w:val="pt-PT"/>
        </w:rPr>
        <w:t>. 177/1924 Sb. z. a n., o existen</w:t>
      </w:r>
      <w:r>
        <w:rPr>
          <w:szCs w:val="24"/>
        </w:rPr>
        <w:t xml:space="preserve">čním minimu. Následovaly novely z roku 1925 ( zák. č. 66/1925 Sb. z. a n.), 1928 (zák. č. 23/1928 Sb. z. a n.) a z roku 1930 (zák.č.130/1930 Sb. z. a n.). Po roce 1918 byla potřeba unifikace práva, jelikož v oblasti procesního práva nastal právní </w:t>
      </w:r>
      <w:r>
        <w:rPr>
          <w:szCs w:val="24"/>
          <w:lang w:val="de-DE"/>
        </w:rPr>
        <w:t>dualismus z</w:t>
      </w:r>
      <w:r>
        <w:rPr>
          <w:szCs w:val="24"/>
        </w:rPr>
        <w:t> důvodu převzetí rakousk</w:t>
      </w:r>
      <w:r>
        <w:rPr>
          <w:szCs w:val="24"/>
          <w:lang w:val="fr-FR"/>
        </w:rPr>
        <w:t>é</w:t>
      </w:r>
      <w:r>
        <w:rPr>
          <w:szCs w:val="24"/>
        </w:rPr>
        <w:t>ho a uhersk</w:t>
      </w:r>
      <w:r>
        <w:rPr>
          <w:szCs w:val="24"/>
          <w:lang w:val="fr-FR"/>
        </w:rPr>
        <w:t>é</w:t>
      </w:r>
      <w:r>
        <w:rPr>
          <w:szCs w:val="24"/>
        </w:rPr>
        <w:t>ho právního řádu. Tato potřeba se projevila v Bratislavě na unifikačním sjezdu, kde bylo vyhláš</w:t>
      </w:r>
      <w:r>
        <w:rPr>
          <w:szCs w:val="24"/>
          <w:lang w:val="it-IT"/>
        </w:rPr>
        <w:t xml:space="preserve">eno, </w:t>
      </w:r>
      <w:r>
        <w:rPr>
          <w:szCs w:val="24"/>
        </w:rPr>
        <w:t>že bude přijat obč</w:t>
      </w:r>
      <w:r>
        <w:rPr>
          <w:szCs w:val="24"/>
          <w:lang w:val="da-DK"/>
        </w:rPr>
        <w:t>ansk</w:t>
      </w:r>
      <w:r>
        <w:rPr>
          <w:szCs w:val="24"/>
        </w:rPr>
        <w:t>ý zákoník, obč</w:t>
      </w:r>
      <w:r>
        <w:rPr>
          <w:szCs w:val="24"/>
          <w:lang w:val="da-DK"/>
        </w:rPr>
        <w:t>ansk</w:t>
      </w:r>
      <w:r>
        <w:rPr>
          <w:szCs w:val="24"/>
        </w:rPr>
        <w:t>ý soudní řád a bude připravena osnova exekučního řádu. Co se týč</w:t>
      </w:r>
      <w:r>
        <w:rPr>
          <w:szCs w:val="24"/>
          <w:lang w:val="de-DE"/>
        </w:rPr>
        <w:t>e Exeku</w:t>
      </w:r>
      <w:r>
        <w:rPr>
          <w:szCs w:val="24"/>
        </w:rPr>
        <w:t>čního řádu, v roce 1934 byla připravena jeho nová osnova, jejíž návrhy vycházely z novější</w:t>
      </w:r>
      <w:r>
        <w:rPr>
          <w:szCs w:val="24"/>
          <w:lang w:val="de-DE"/>
        </w:rPr>
        <w:t xml:space="preserve">ch </w:t>
      </w:r>
      <w:r>
        <w:rPr>
          <w:szCs w:val="24"/>
        </w:rPr>
        <w:t>československých předpisů, ale i z těch rakouských.</w:t>
      </w:r>
      <w:r>
        <w:rPr>
          <w:rFonts w:eastAsia="Times New Roman" w:cs="Times New Roman"/>
          <w:szCs w:val="24"/>
          <w:vertAlign w:val="superscript"/>
        </w:rPr>
        <w:footnoteReference w:id="24"/>
      </w:r>
      <w:r>
        <w:rPr>
          <w:szCs w:val="24"/>
        </w:rPr>
        <w:t xml:space="preserve"> </w:t>
      </w:r>
    </w:p>
    <w:p w:rsidR="009B70FF" w:rsidRDefault="009B70FF" w:rsidP="009B70FF">
      <w:pPr>
        <w:ind w:firstLine="708"/>
        <w:rPr>
          <w:rFonts w:eastAsia="Times New Roman" w:cs="Times New Roman"/>
          <w:szCs w:val="24"/>
        </w:rPr>
      </w:pPr>
      <w:r>
        <w:rPr>
          <w:szCs w:val="24"/>
        </w:rPr>
        <w:t xml:space="preserve">Díky rekodifikaci občanského soudního řádu z roku 1963 pojem exekuce nahradil pojem výkon rozhodnutí. Řízení </w:t>
      </w:r>
      <w:r>
        <w:rPr>
          <w:szCs w:val="24"/>
          <w:lang w:val="pt-PT"/>
        </w:rPr>
        <w:t>exeku</w:t>
      </w:r>
      <w:r>
        <w:rPr>
          <w:szCs w:val="24"/>
        </w:rPr>
        <w:t>ční se tedy díky tomu stalo řízením vykonávacím. V tuto dobu již proběhla dodnes trvající kritika t</w:t>
      </w:r>
      <w:r>
        <w:rPr>
          <w:szCs w:val="24"/>
          <w:lang w:val="fr-FR"/>
        </w:rPr>
        <w:t>é</w:t>
      </w:r>
      <w:r>
        <w:rPr>
          <w:szCs w:val="24"/>
        </w:rPr>
        <w:t>to nov</w:t>
      </w:r>
      <w:r>
        <w:rPr>
          <w:szCs w:val="24"/>
          <w:lang w:val="fr-FR"/>
        </w:rPr>
        <w:t xml:space="preserve">é </w:t>
      </w:r>
      <w:r>
        <w:rPr>
          <w:szCs w:val="24"/>
        </w:rPr>
        <w:t xml:space="preserve">terminologie. Pro mnoho účastníků </w:t>
      </w:r>
      <w:r>
        <w:rPr>
          <w:szCs w:val="24"/>
          <w:lang w:val="pt-PT"/>
        </w:rPr>
        <w:t>exeku</w:t>
      </w:r>
      <w:r>
        <w:rPr>
          <w:szCs w:val="24"/>
        </w:rPr>
        <w:t>čního řízení je tento pojem matoucí, jelikož nejde pouze o nucen</w:t>
      </w:r>
      <w:r>
        <w:rPr>
          <w:szCs w:val="24"/>
          <w:lang w:val="fr-FR"/>
        </w:rPr>
        <w:t xml:space="preserve">é </w:t>
      </w:r>
      <w:r>
        <w:rPr>
          <w:szCs w:val="24"/>
        </w:rPr>
        <w:t>vymáhání povinností ale i smíry, dohody, výkazy nedoplatků</w:t>
      </w:r>
      <w:r>
        <w:rPr>
          <w:szCs w:val="24"/>
          <w:lang w:val="nl-NL"/>
        </w:rPr>
        <w:t>, z</w:t>
      </w:r>
      <w:r>
        <w:rPr>
          <w:szCs w:val="24"/>
        </w:rPr>
        <w:t>ápisy či platební výměry. Výkon rozhodnutí byl tímto výrazně omezen, a to na exekuci speciální, která nadále vycházela ze struktury sporn</w:t>
      </w:r>
      <w:r>
        <w:rPr>
          <w:szCs w:val="24"/>
          <w:lang w:val="fr-FR"/>
        </w:rPr>
        <w:t>é</w:t>
      </w:r>
      <w:r>
        <w:rPr>
          <w:szCs w:val="24"/>
        </w:rPr>
        <w:t>ho řízení. Zároveň byl zachován princip dispoziční, který byl doplněn principem oficiality. Dle tohoto principu má soud provádět výkony rozhodnutí co nejrychleji.</w:t>
      </w:r>
      <w:r>
        <w:rPr>
          <w:rFonts w:eastAsia="Times New Roman" w:cs="Times New Roman"/>
          <w:szCs w:val="24"/>
          <w:vertAlign w:val="superscript"/>
        </w:rPr>
        <w:footnoteReference w:id="25"/>
      </w:r>
      <w:r>
        <w:rPr>
          <w:szCs w:val="24"/>
        </w:rPr>
        <w:t xml:space="preserve"> </w:t>
      </w:r>
    </w:p>
    <w:p w:rsidR="009B70FF" w:rsidRDefault="009B70FF" w:rsidP="009B70FF">
      <w:pPr>
        <w:ind w:firstLine="708"/>
        <w:rPr>
          <w:rFonts w:eastAsia="Times New Roman" w:cs="Times New Roman"/>
          <w:szCs w:val="24"/>
        </w:rPr>
      </w:pPr>
      <w:r>
        <w:rPr>
          <w:szCs w:val="24"/>
        </w:rPr>
        <w:t>OSŘ proš</w:t>
      </w:r>
      <w:r>
        <w:rPr>
          <w:szCs w:val="24"/>
          <w:lang w:val="nl-NL"/>
        </w:rPr>
        <w:t>el slo</w:t>
      </w:r>
      <w:r>
        <w:rPr>
          <w:szCs w:val="24"/>
        </w:rPr>
        <w:t>žitým vývojem, během něhož byl několikrát doplněn a pozměněn. Změ</w:t>
      </w:r>
      <w:r>
        <w:rPr>
          <w:szCs w:val="24"/>
          <w:lang w:val="en-US"/>
        </w:rPr>
        <w:t>ny t</w:t>
      </w:r>
      <w:r>
        <w:rPr>
          <w:szCs w:val="24"/>
        </w:rPr>
        <w:t xml:space="preserve">ýkající </w:t>
      </w:r>
      <w:r>
        <w:rPr>
          <w:szCs w:val="24"/>
          <w:lang w:val="pt-PT"/>
        </w:rPr>
        <w:t>se exeku</w:t>
      </w:r>
      <w:r>
        <w:rPr>
          <w:szCs w:val="24"/>
        </w:rPr>
        <w:t>čního řízení byly zakotveny v novele obč</w:t>
      </w:r>
      <w:r>
        <w:rPr>
          <w:szCs w:val="24"/>
          <w:lang w:val="da-DK"/>
        </w:rPr>
        <w:t>ansk</w:t>
      </w:r>
      <w:r>
        <w:rPr>
          <w:szCs w:val="24"/>
          <w:lang w:val="fr-FR"/>
        </w:rPr>
        <w:t>é</w:t>
      </w:r>
      <w:r>
        <w:rPr>
          <w:szCs w:val="24"/>
        </w:rPr>
        <w:t>ho soudního řádu, jež byly publikovan</w:t>
      </w:r>
      <w:r>
        <w:rPr>
          <w:szCs w:val="24"/>
          <w:lang w:val="fr-FR"/>
        </w:rPr>
        <w:t xml:space="preserve">é </w:t>
      </w:r>
      <w:r>
        <w:rPr>
          <w:szCs w:val="24"/>
        </w:rPr>
        <w:t>pod č. 519/1991 Sb.</w:t>
      </w:r>
    </w:p>
    <w:p w:rsidR="009B70FF" w:rsidRPr="003776A2" w:rsidRDefault="009B70FF" w:rsidP="007A2179">
      <w:pPr>
        <w:pStyle w:val="Nadpis2"/>
        <w:numPr>
          <w:ilvl w:val="1"/>
          <w:numId w:val="33"/>
        </w:numPr>
        <w:pBdr>
          <w:top w:val="nil"/>
          <w:left w:val="nil"/>
          <w:bottom w:val="nil"/>
          <w:right w:val="nil"/>
          <w:between w:val="nil"/>
          <w:bar w:val="nil"/>
        </w:pBdr>
        <w:spacing w:before="260" w:after="260"/>
        <w:ind w:hanging="720"/>
        <w:rPr>
          <w:rFonts w:eastAsia="Times New Roman" w:cs="Times New Roman"/>
          <w:color w:val="000000"/>
        </w:rPr>
      </w:pPr>
      <w:bookmarkStart w:id="24" w:name="_Toc8"/>
      <w:bookmarkStart w:id="25" w:name="_Toc18276722"/>
      <w:bookmarkStart w:id="26" w:name="_Toc18313943"/>
      <w:r>
        <w:rPr>
          <w:color w:val="000000"/>
          <w:u w:color="000000"/>
        </w:rPr>
        <w:t>Přijetí Exekučního řádu</w:t>
      </w:r>
      <w:bookmarkEnd w:id="24"/>
      <w:bookmarkEnd w:id="25"/>
      <w:bookmarkEnd w:id="26"/>
    </w:p>
    <w:p w:rsidR="009B70FF" w:rsidRDefault="009B70FF" w:rsidP="009B70FF">
      <w:pPr>
        <w:ind w:firstLine="708"/>
        <w:rPr>
          <w:rFonts w:eastAsia="Times New Roman" w:cs="Times New Roman"/>
          <w:szCs w:val="24"/>
        </w:rPr>
      </w:pPr>
      <w:r>
        <w:rPr>
          <w:szCs w:val="24"/>
        </w:rPr>
        <w:t>Po rozpadu Československa se v obou republikách začaly objevovat návrhy na řešení situace v soudním výkonu rozhodnutí. Tehdejší vláda premi</w:t>
      </w:r>
      <w:r>
        <w:rPr>
          <w:szCs w:val="24"/>
          <w:lang w:val="fr-FR"/>
        </w:rPr>
        <w:t>é</w:t>
      </w:r>
      <w:r>
        <w:rPr>
          <w:szCs w:val="24"/>
        </w:rPr>
        <w:t>ra Václava Klause návrh zásad právní úpravy tzv. soukromých exekucí odmítla s tím, že Česká republika nebude korporativní stát. V návrhu totiž bylo obsaženo zřízení samosprávn</w:t>
      </w:r>
      <w:r>
        <w:rPr>
          <w:szCs w:val="24"/>
          <w:lang w:val="fr-FR"/>
        </w:rPr>
        <w:t xml:space="preserve">é </w:t>
      </w:r>
      <w:r>
        <w:rPr>
          <w:szCs w:val="24"/>
        </w:rPr>
        <w:t>organizace sdružující exekutory. Zatímco na Slovensku byl přijat zákon č</w:t>
      </w:r>
      <w:r>
        <w:rPr>
          <w:szCs w:val="24"/>
          <w:lang w:val="pt-PT"/>
        </w:rPr>
        <w:t>. 233/1995 Z., o s</w:t>
      </w:r>
      <w:r>
        <w:rPr>
          <w:szCs w:val="24"/>
        </w:rPr>
        <w:t>údnych exekútoroch a exekučnej činnosti ( Exekučný poriadok), u nás po tomto zamítnutí návrhu na zlepšení vymahatelnosti práva následovalo několik let promrhaných nečinností. Roku 1997, během vlády premi</w:t>
      </w:r>
      <w:r>
        <w:rPr>
          <w:szCs w:val="24"/>
          <w:lang w:val="fr-FR"/>
        </w:rPr>
        <w:t>é</w:t>
      </w:r>
      <w:r>
        <w:rPr>
          <w:szCs w:val="24"/>
        </w:rPr>
        <w:t>ra Josefa Tošovsk</w:t>
      </w:r>
      <w:r>
        <w:rPr>
          <w:szCs w:val="24"/>
          <w:lang w:val="fr-FR"/>
        </w:rPr>
        <w:t>é</w:t>
      </w:r>
      <w:r>
        <w:rPr>
          <w:szCs w:val="24"/>
        </w:rPr>
        <w:t>ho, bylo uloženo ministryni spravedlnosti zpracování vě</w:t>
      </w:r>
      <w:r>
        <w:rPr>
          <w:szCs w:val="24"/>
          <w:lang w:val="it-IT"/>
        </w:rPr>
        <w:t>cn</w:t>
      </w:r>
      <w:r>
        <w:rPr>
          <w:szCs w:val="24"/>
          <w:lang w:val="fr-FR"/>
        </w:rPr>
        <w:t>é</w:t>
      </w:r>
      <w:r>
        <w:rPr>
          <w:szCs w:val="24"/>
        </w:rPr>
        <w:t>ho záměru zákona o soudních exekutorech, a to na základě obnoven</w:t>
      </w:r>
      <w:r>
        <w:rPr>
          <w:szCs w:val="24"/>
          <w:lang w:val="fr-FR"/>
        </w:rPr>
        <w:t xml:space="preserve">é </w:t>
      </w:r>
      <w:r>
        <w:rPr>
          <w:szCs w:val="24"/>
        </w:rPr>
        <w:t>iniciativy ministerstva. Záměr byl připraven a následně i schválen, nicm</w:t>
      </w:r>
      <w:r>
        <w:rPr>
          <w:szCs w:val="24"/>
          <w:lang w:val="fr-FR"/>
        </w:rPr>
        <w:t>é</w:t>
      </w:r>
      <w:r>
        <w:rPr>
          <w:szCs w:val="24"/>
        </w:rPr>
        <w:t>ně se po další roční odmlce nic nedě</w:t>
      </w:r>
      <w:r>
        <w:rPr>
          <w:szCs w:val="24"/>
          <w:lang w:val="it-IT"/>
        </w:rPr>
        <w:t>lo.</w:t>
      </w:r>
      <w:r>
        <w:rPr>
          <w:rFonts w:eastAsia="Times New Roman" w:cs="Times New Roman"/>
          <w:szCs w:val="24"/>
          <w:vertAlign w:val="superscript"/>
        </w:rPr>
        <w:footnoteReference w:id="26"/>
      </w:r>
      <w:r>
        <w:rPr>
          <w:szCs w:val="24"/>
        </w:rPr>
        <w:t xml:space="preserve"> </w:t>
      </w:r>
    </w:p>
    <w:p w:rsidR="009B70FF" w:rsidRDefault="009B70FF" w:rsidP="009B70FF">
      <w:pPr>
        <w:ind w:firstLine="708"/>
        <w:rPr>
          <w:rFonts w:eastAsia="Times New Roman" w:cs="Times New Roman"/>
          <w:szCs w:val="24"/>
        </w:rPr>
      </w:pPr>
      <w:r>
        <w:rPr>
          <w:szCs w:val="24"/>
        </w:rPr>
        <w:t>Na základě zkušeností se slovenským zákon o súdný</w:t>
      </w:r>
      <w:r>
        <w:rPr>
          <w:szCs w:val="24"/>
          <w:lang w:val="sv-SE"/>
        </w:rPr>
        <w:t>ch exek</w:t>
      </w:r>
      <w:r>
        <w:rPr>
          <w:szCs w:val="24"/>
        </w:rPr>
        <w:t>útoroch začal být vyvíjen tlak na přijetí tohoto zákona i v Česk</w:t>
      </w:r>
      <w:r>
        <w:rPr>
          <w:szCs w:val="24"/>
          <w:lang w:val="fr-FR"/>
        </w:rPr>
        <w:t xml:space="preserve">é </w:t>
      </w:r>
      <w:r>
        <w:rPr>
          <w:szCs w:val="24"/>
        </w:rPr>
        <w:t>Republice. Jelikož vláda nijak nereagovala, iniciativy se ujala skupina poslanců a za pomoci právníků z Legislativní komise Unie svobody a KDU-ČSL připravili návrh zákona o soudních exekutorech a exekuční činnosti, který byl v říjnu 1999 předložen Poslaneck</w:t>
      </w:r>
      <w:r>
        <w:rPr>
          <w:szCs w:val="24"/>
          <w:lang w:val="fr-FR"/>
        </w:rPr>
        <w:t xml:space="preserve">é </w:t>
      </w:r>
      <w:r>
        <w:rPr>
          <w:szCs w:val="24"/>
        </w:rPr>
        <w:t>sněmovně. Po projednávání vláda vyslovila s tímto návrhem svůj nesouhlas. Zákon obsahoval nedostatky v dohledu nad činností soudních exekutorů a omezoval oprávněn</w:t>
      </w:r>
      <w:r>
        <w:rPr>
          <w:szCs w:val="24"/>
          <w:lang w:val="fr-FR"/>
        </w:rPr>
        <w:t>é</w:t>
      </w:r>
      <w:r>
        <w:rPr>
          <w:szCs w:val="24"/>
        </w:rPr>
        <w:t>ho v opravných prostředcích pouze na procesní námitky, nikoliv řádn</w:t>
      </w:r>
      <w:r>
        <w:rPr>
          <w:szCs w:val="24"/>
          <w:lang w:val="fr-FR"/>
        </w:rPr>
        <w:t xml:space="preserve">é </w:t>
      </w:r>
      <w:r>
        <w:rPr>
          <w:szCs w:val="24"/>
        </w:rPr>
        <w:t>opravn</w:t>
      </w:r>
      <w:r>
        <w:rPr>
          <w:szCs w:val="24"/>
          <w:lang w:val="fr-FR"/>
        </w:rPr>
        <w:t xml:space="preserve">é </w:t>
      </w:r>
      <w:r>
        <w:rPr>
          <w:szCs w:val="24"/>
        </w:rPr>
        <w:t>prostředky. Vládě se dá</w:t>
      </w:r>
      <w:r>
        <w:rPr>
          <w:szCs w:val="24"/>
          <w:lang w:val="it-IT"/>
        </w:rPr>
        <w:t>le nel</w:t>
      </w:r>
      <w:r>
        <w:rPr>
          <w:szCs w:val="24"/>
        </w:rPr>
        <w:t>íbilo, že by soudní exekutoři již nebyli v postavení veřejný</w:t>
      </w:r>
      <w:r>
        <w:rPr>
          <w:szCs w:val="24"/>
          <w:lang w:val="de-DE"/>
        </w:rPr>
        <w:t xml:space="preserve">ch </w:t>
      </w:r>
      <w:r>
        <w:rPr>
          <w:szCs w:val="24"/>
        </w:rPr>
        <w:t>činitelů a měli mít prý příliš širok</w:t>
      </w:r>
      <w:r>
        <w:rPr>
          <w:szCs w:val="24"/>
          <w:lang w:val="fr-FR"/>
        </w:rPr>
        <w:t xml:space="preserve">é </w:t>
      </w:r>
      <w:r>
        <w:rPr>
          <w:szCs w:val="24"/>
        </w:rPr>
        <w:t xml:space="preserve">pravomoci v souvislosti se součinností orgánů státní </w:t>
      </w:r>
      <w:r>
        <w:rPr>
          <w:szCs w:val="24"/>
          <w:lang w:val="de-DE"/>
        </w:rPr>
        <w:t>spr</w:t>
      </w:r>
      <w:r>
        <w:rPr>
          <w:szCs w:val="24"/>
        </w:rPr>
        <w:t>ávy či policie ČR. Mimo tyto výtky vlády s návrhem nesouhlasila ani odborná veřejnost, kter</w:t>
      </w:r>
      <w:r>
        <w:rPr>
          <w:szCs w:val="24"/>
          <w:lang w:val="fr-FR"/>
        </w:rPr>
        <w:t xml:space="preserve">é </w:t>
      </w:r>
      <w:r>
        <w:rPr>
          <w:szCs w:val="24"/>
        </w:rPr>
        <w:t>se přijetí návrhu zá</w:t>
      </w:r>
      <w:r>
        <w:rPr>
          <w:szCs w:val="24"/>
          <w:lang w:val="it-IT"/>
        </w:rPr>
        <w:t>kona nel</w:t>
      </w:r>
      <w:r>
        <w:rPr>
          <w:szCs w:val="24"/>
        </w:rPr>
        <w:t>íbilo už jen z principu.</w:t>
      </w:r>
      <w:r>
        <w:rPr>
          <w:rFonts w:eastAsia="Times New Roman" w:cs="Times New Roman"/>
          <w:szCs w:val="24"/>
          <w:vertAlign w:val="superscript"/>
        </w:rPr>
        <w:footnoteReference w:id="27"/>
      </w:r>
    </w:p>
    <w:p w:rsidR="009B70FF" w:rsidRDefault="009B70FF" w:rsidP="009B70FF">
      <w:pPr>
        <w:ind w:firstLine="708"/>
        <w:rPr>
          <w:rFonts w:eastAsia="Times New Roman" w:cs="Times New Roman"/>
          <w:szCs w:val="24"/>
        </w:rPr>
      </w:pPr>
      <w:r>
        <w:rPr>
          <w:szCs w:val="24"/>
        </w:rPr>
        <w:t>Následovalo jednání navrhovatelů zákona s ministerstvem spravedlnosti, kdy ministerstvo projevilo zájem o koordinovaný postup s předkladateli návrhu pot</w:t>
      </w:r>
      <w:r>
        <w:rPr>
          <w:szCs w:val="24"/>
          <w:lang w:val="fr-FR"/>
        </w:rPr>
        <w:t>é</w:t>
      </w:r>
      <w:r>
        <w:rPr>
          <w:szCs w:val="24"/>
        </w:rPr>
        <w:t>, co návrh proš</w:t>
      </w:r>
      <w:r>
        <w:rPr>
          <w:szCs w:val="24"/>
          <w:lang w:val="es-ES_tradnl"/>
        </w:rPr>
        <w:t>el t</w:t>
      </w:r>
      <w:r>
        <w:rPr>
          <w:szCs w:val="24"/>
        </w:rPr>
        <w:t>ěsnou většinou pravicových stran do druh</w:t>
      </w:r>
      <w:r>
        <w:rPr>
          <w:szCs w:val="24"/>
          <w:lang w:val="fr-FR"/>
        </w:rPr>
        <w:t>é</w:t>
      </w:r>
      <w:r>
        <w:rPr>
          <w:szCs w:val="24"/>
        </w:rPr>
        <w:t>ho čtení. Ministerstvo vyslovilo návrh s politickou podporou vládních stran s tím, že bude návrh zákona muset projít několika změnami. S tímto postupem předkladatel</w:t>
      </w:r>
      <w:r>
        <w:rPr>
          <w:szCs w:val="24"/>
          <w:lang w:val="fr-FR"/>
        </w:rPr>
        <w:t xml:space="preserve">é </w:t>
      </w:r>
      <w:r>
        <w:rPr>
          <w:szCs w:val="24"/>
        </w:rPr>
        <w:t>zákona v zájmu podpory souhlasili. Po těchto jednáních byl ná</w:t>
      </w:r>
      <w:r>
        <w:rPr>
          <w:szCs w:val="24"/>
          <w:lang w:val="pt-PT"/>
        </w:rPr>
        <w:t xml:space="preserve">vrh PSP </w:t>
      </w:r>
      <w:r>
        <w:rPr>
          <w:szCs w:val="24"/>
        </w:rPr>
        <w:t>Č</w:t>
      </w:r>
      <w:r>
        <w:rPr>
          <w:szCs w:val="24"/>
          <w:lang w:val="de-DE"/>
        </w:rPr>
        <w:t>R, s</w:t>
      </w:r>
      <w:r>
        <w:rPr>
          <w:szCs w:val="24"/>
        </w:rPr>
        <w:t> podporou ČSSD, KDU-ČSL a Unie svobody, přijat. K předkládanému návrhu byl v přechodných ustanoveních obsažen § 134, kterým se rušila třetí čá</w:t>
      </w:r>
      <w:r>
        <w:rPr>
          <w:szCs w:val="24"/>
          <w:lang w:val="nl-NL"/>
        </w:rPr>
        <w:t>st z</w:t>
      </w:r>
      <w:r>
        <w:rPr>
          <w:szCs w:val="24"/>
        </w:rPr>
        <w:t>ákona č</w:t>
      </w:r>
      <w:r>
        <w:rPr>
          <w:szCs w:val="24"/>
          <w:lang w:val="pt-PT"/>
        </w:rPr>
        <w:t>. 26/2000 Sb., o ve</w:t>
      </w:r>
      <w:r>
        <w:rPr>
          <w:szCs w:val="24"/>
        </w:rPr>
        <w:t>řejný</w:t>
      </w:r>
      <w:r>
        <w:rPr>
          <w:szCs w:val="24"/>
          <w:lang w:val="de-DE"/>
        </w:rPr>
        <w:t>ch dra</w:t>
      </w:r>
      <w:r>
        <w:rPr>
          <w:szCs w:val="24"/>
        </w:rPr>
        <w:t>žbách.</w:t>
      </w:r>
      <w:r>
        <w:rPr>
          <w:rFonts w:eastAsia="Times New Roman" w:cs="Times New Roman"/>
          <w:szCs w:val="24"/>
          <w:vertAlign w:val="superscript"/>
        </w:rPr>
        <w:footnoteReference w:id="28"/>
      </w:r>
    </w:p>
    <w:p w:rsidR="009B70FF" w:rsidRDefault="009B70FF" w:rsidP="009B70FF">
      <w:pPr>
        <w:ind w:firstLine="708"/>
        <w:rPr>
          <w:rFonts w:eastAsia="Times New Roman" w:cs="Times New Roman"/>
          <w:szCs w:val="24"/>
        </w:rPr>
      </w:pPr>
      <w:r>
        <w:rPr>
          <w:szCs w:val="24"/>
        </w:rPr>
        <w:t>Cesta ke zkvalitnění a zefektivnění procesu vymáhání přiznaných pohledávek věřitelů se ještě naposledy zkomplikovala, a to při přijímání pozměňovacího návrhu zákona o veřejný</w:t>
      </w:r>
      <w:r>
        <w:rPr>
          <w:szCs w:val="24"/>
          <w:lang w:val="de-DE"/>
        </w:rPr>
        <w:t>ch dra</w:t>
      </w:r>
      <w:r>
        <w:rPr>
          <w:szCs w:val="24"/>
        </w:rPr>
        <w:t>žbá</w:t>
      </w:r>
      <w:r>
        <w:rPr>
          <w:szCs w:val="24"/>
          <w:lang w:val="pt-PT"/>
        </w:rPr>
        <w:t>ch. PSP zn</w:t>
      </w:r>
      <w:r>
        <w:rPr>
          <w:szCs w:val="24"/>
        </w:rPr>
        <w:t>ění tohoto návrhu odmítla i př</w:t>
      </w:r>
      <w:r>
        <w:rPr>
          <w:szCs w:val="24"/>
          <w:lang w:val="it-IT"/>
        </w:rPr>
        <w:t xml:space="preserve">esto, </w:t>
      </w:r>
      <w:r>
        <w:rPr>
          <w:szCs w:val="24"/>
        </w:rPr>
        <w:t>že jej 25. května 2000 sama přijala. Předkladatel</w:t>
      </w:r>
      <w:r>
        <w:rPr>
          <w:szCs w:val="24"/>
          <w:lang w:val="fr-FR"/>
        </w:rPr>
        <w:t xml:space="preserve">é </w:t>
      </w:r>
      <w:r>
        <w:rPr>
          <w:szCs w:val="24"/>
        </w:rPr>
        <w:t>zamítnut</w:t>
      </w:r>
      <w:r>
        <w:rPr>
          <w:szCs w:val="24"/>
          <w:lang w:val="fr-FR"/>
        </w:rPr>
        <w:t>é</w:t>
      </w:r>
      <w:r>
        <w:rPr>
          <w:szCs w:val="24"/>
        </w:rPr>
        <w:t>ho návrhu však měli potřebu řešit špatnou situaci vymahatelnosti pohledávek v ČR, a proto tento návrh opět a tentokrát již naposledy předlož</w:t>
      </w:r>
      <w:r>
        <w:rPr>
          <w:szCs w:val="24"/>
          <w:lang w:val="pt-PT"/>
        </w:rPr>
        <w:t>ili PSP v</w:t>
      </w:r>
      <w:r>
        <w:rPr>
          <w:szCs w:val="24"/>
        </w:rPr>
        <w:t> září 2000. Znění tohoto návrhu bylo vícem</w:t>
      </w:r>
      <w:r>
        <w:rPr>
          <w:szCs w:val="24"/>
          <w:lang w:val="fr-FR"/>
        </w:rPr>
        <w:t>é</w:t>
      </w:r>
      <w:r>
        <w:rPr>
          <w:szCs w:val="24"/>
        </w:rPr>
        <w:t>ně totožn</w:t>
      </w:r>
      <w:r>
        <w:rPr>
          <w:szCs w:val="24"/>
          <w:lang w:val="fr-FR"/>
        </w:rPr>
        <w:t xml:space="preserve">é </w:t>
      </w:r>
      <w:r>
        <w:rPr>
          <w:szCs w:val="24"/>
        </w:rPr>
        <w:t>s tím, jež bylo zamítnuto, pouze v něm nebylo obsaž</w:t>
      </w:r>
      <w:r>
        <w:rPr>
          <w:szCs w:val="24"/>
          <w:lang w:val="it-IT"/>
        </w:rPr>
        <w:t>eno deroga</w:t>
      </w:r>
      <w:r>
        <w:rPr>
          <w:szCs w:val="24"/>
        </w:rPr>
        <w:t>ční ustanovení, kter</w:t>
      </w:r>
      <w:r>
        <w:rPr>
          <w:szCs w:val="24"/>
          <w:lang w:val="fr-FR"/>
        </w:rPr>
        <w:t xml:space="preserve">é </w:t>
      </w:r>
      <w:r>
        <w:rPr>
          <w:szCs w:val="24"/>
        </w:rPr>
        <w:t>se vztahovalo k zákonu o veřejný</w:t>
      </w:r>
      <w:r>
        <w:rPr>
          <w:szCs w:val="24"/>
          <w:lang w:val="de-DE"/>
        </w:rPr>
        <w:t>ch dra</w:t>
      </w:r>
      <w:r>
        <w:rPr>
          <w:szCs w:val="24"/>
        </w:rPr>
        <w:t>žbách.</w:t>
      </w:r>
      <w:r>
        <w:rPr>
          <w:rFonts w:eastAsia="Times New Roman" w:cs="Times New Roman"/>
          <w:szCs w:val="24"/>
          <w:vertAlign w:val="superscript"/>
        </w:rPr>
        <w:footnoteReference w:id="29"/>
      </w:r>
      <w:r>
        <w:rPr>
          <w:szCs w:val="24"/>
        </w:rPr>
        <w:t xml:space="preserve"> </w:t>
      </w:r>
    </w:p>
    <w:p w:rsidR="009B70FF" w:rsidRDefault="009B70FF" w:rsidP="009B70FF">
      <w:pPr>
        <w:ind w:firstLine="708"/>
        <w:rPr>
          <w:szCs w:val="24"/>
        </w:rPr>
      </w:pPr>
      <w:r>
        <w:rPr>
          <w:szCs w:val="24"/>
        </w:rPr>
        <w:t>Dne 26. ledna 2001 byl návrh zákona o soudních exekutorech a exekuční činnosti př</w:t>
      </w:r>
      <w:r>
        <w:rPr>
          <w:szCs w:val="24"/>
          <w:lang w:val="pt-PT"/>
        </w:rPr>
        <w:t xml:space="preserve">ijat PSP </w:t>
      </w:r>
      <w:r>
        <w:rPr>
          <w:szCs w:val="24"/>
        </w:rPr>
        <w:t>ČR, a to dokonce bez zásadních pozměňovací</w:t>
      </w:r>
      <w:r>
        <w:rPr>
          <w:szCs w:val="24"/>
          <w:lang w:val="de-DE"/>
        </w:rPr>
        <w:t>ch n</w:t>
      </w:r>
      <w:r>
        <w:rPr>
          <w:szCs w:val="24"/>
        </w:rPr>
        <w:t>ávrhů. Senát s tímto návrhem vyslovil souhlas 28. února 2001 a po podpisu prezidenta republiky dne 22. března 2001 a následn</w:t>
      </w:r>
      <w:r>
        <w:rPr>
          <w:szCs w:val="24"/>
          <w:lang w:val="fr-FR"/>
        </w:rPr>
        <w:t>é</w:t>
      </w:r>
      <w:r>
        <w:rPr>
          <w:szCs w:val="24"/>
        </w:rPr>
        <w:t>m vyhlášení dne 3. dubna 2001 ve sbírce zákonů</w:t>
      </w:r>
      <w:r>
        <w:rPr>
          <w:szCs w:val="24"/>
          <w:lang w:val="pt-PT"/>
        </w:rPr>
        <w:t>, tento n</w:t>
      </w:r>
      <w:r>
        <w:rPr>
          <w:szCs w:val="24"/>
        </w:rPr>
        <w:t>ávrh veš</w:t>
      </w:r>
      <w:r>
        <w:rPr>
          <w:szCs w:val="24"/>
          <w:lang w:val="nl-NL"/>
        </w:rPr>
        <w:t>el v</w:t>
      </w:r>
      <w:r>
        <w:rPr>
          <w:szCs w:val="24"/>
        </w:rPr>
        <w:t> platnost jako zákon č. 120/2001 Sb. o soudních exekutorech a exekuční činnosti (exekuční řád). Zákonem o soudních exekutorech a exekuční činnosti byla přenesena část pravomocí soudu na nezávisl</w:t>
      </w:r>
      <w:r>
        <w:rPr>
          <w:szCs w:val="24"/>
          <w:lang w:val="fr-FR"/>
        </w:rPr>
        <w:t>é</w:t>
      </w:r>
      <w:r>
        <w:rPr>
          <w:szCs w:val="24"/>
        </w:rPr>
        <w:t>ho a nestrann</w:t>
      </w:r>
      <w:r>
        <w:rPr>
          <w:szCs w:val="24"/>
          <w:lang w:val="fr-FR"/>
        </w:rPr>
        <w:t>é</w:t>
      </w:r>
      <w:r>
        <w:rPr>
          <w:szCs w:val="24"/>
        </w:rPr>
        <w:t>ho soudního exekutora. Zároveň byl přijetím tohoto zákona právní řád ČR rozšířen o další druh exekuce prováděn</w:t>
      </w:r>
      <w:r>
        <w:rPr>
          <w:szCs w:val="24"/>
          <w:lang w:val="fr-FR"/>
        </w:rPr>
        <w:t xml:space="preserve">é </w:t>
      </w:r>
      <w:r>
        <w:rPr>
          <w:szCs w:val="24"/>
        </w:rPr>
        <w:t>soudními exekutory.</w:t>
      </w:r>
      <w:r>
        <w:rPr>
          <w:rFonts w:eastAsia="Times New Roman" w:cs="Times New Roman"/>
          <w:szCs w:val="24"/>
          <w:vertAlign w:val="superscript"/>
        </w:rPr>
        <w:footnoteReference w:id="30"/>
      </w:r>
    </w:p>
    <w:p w:rsidR="009B70FF" w:rsidRPr="003D0425" w:rsidRDefault="009B70FF" w:rsidP="009B70FF">
      <w:pPr>
        <w:spacing w:line="240" w:lineRule="auto"/>
        <w:rPr>
          <w:szCs w:val="24"/>
        </w:rPr>
      </w:pPr>
      <w:r>
        <w:rPr>
          <w:szCs w:val="24"/>
        </w:rPr>
        <w:br w:type="page"/>
      </w:r>
    </w:p>
    <w:p w:rsidR="009B70FF" w:rsidRPr="003D0425" w:rsidRDefault="009B70FF" w:rsidP="007A2179">
      <w:pPr>
        <w:pStyle w:val="Nadpis1"/>
        <w:numPr>
          <w:ilvl w:val="0"/>
          <w:numId w:val="33"/>
        </w:numPr>
        <w:pBdr>
          <w:top w:val="nil"/>
          <w:left w:val="nil"/>
          <w:bottom w:val="nil"/>
          <w:right w:val="nil"/>
          <w:between w:val="nil"/>
          <w:bar w:val="nil"/>
        </w:pBdr>
        <w:spacing w:before="280" w:after="280"/>
        <w:ind w:hanging="720"/>
        <w:rPr>
          <w:rFonts w:eastAsia="Times New Roman" w:cs="Times New Roman"/>
          <w:color w:val="000000"/>
        </w:rPr>
      </w:pPr>
      <w:bookmarkStart w:id="27" w:name="_Toc9"/>
      <w:bookmarkStart w:id="28" w:name="_Toc18276723"/>
      <w:bookmarkStart w:id="29" w:name="_Toc18313944"/>
      <w:r>
        <w:rPr>
          <w:color w:val="000000"/>
          <w:u w:color="000000"/>
        </w:rPr>
        <w:t>Exekuce</w:t>
      </w:r>
      <w:bookmarkEnd w:id="27"/>
      <w:bookmarkEnd w:id="28"/>
      <w:bookmarkEnd w:id="29"/>
    </w:p>
    <w:p w:rsidR="009B70FF" w:rsidRDefault="009B70FF" w:rsidP="009B70FF">
      <w:pPr>
        <w:pBdr>
          <w:left w:val="nil"/>
        </w:pBdr>
        <w:ind w:firstLine="708"/>
        <w:rPr>
          <w:rFonts w:eastAsia="Times New Roman" w:cs="Times New Roman"/>
          <w:szCs w:val="24"/>
        </w:rPr>
      </w:pPr>
      <w:r>
        <w:rPr>
          <w:szCs w:val="24"/>
        </w:rPr>
        <w:t xml:space="preserve">Exekuce je postup, kterým se provádí </w:t>
      </w:r>
      <w:r>
        <w:rPr>
          <w:szCs w:val="24"/>
          <w:lang w:val="it-IT"/>
        </w:rPr>
        <w:t>nucen</w:t>
      </w:r>
      <w:r>
        <w:rPr>
          <w:szCs w:val="24"/>
        </w:rPr>
        <w:t>á realizace plnění k tomu oprávněný</w:t>
      </w:r>
      <w:r>
        <w:rPr>
          <w:szCs w:val="24"/>
          <w:lang w:val="it-IT"/>
        </w:rPr>
        <w:t>mi org</w:t>
      </w:r>
      <w:r>
        <w:rPr>
          <w:szCs w:val="24"/>
        </w:rPr>
        <w:t xml:space="preserve">ány. Procesními normami je exekuce svěřena různým orgánům, mezi nimiž rozhodující místo zaujímá soud. Exekuce je proces či procesní činnost soudů </w:t>
      </w:r>
      <w:r>
        <w:rPr>
          <w:szCs w:val="24"/>
          <w:lang w:val="it-IT"/>
        </w:rPr>
        <w:t>a dal</w:t>
      </w:r>
      <w:r>
        <w:rPr>
          <w:szCs w:val="24"/>
        </w:rPr>
        <w:t>ších osob, kter</w:t>
      </w:r>
      <w:r>
        <w:rPr>
          <w:szCs w:val="24"/>
          <w:lang w:val="fr-FR"/>
        </w:rPr>
        <w:t xml:space="preserve">é </w:t>
      </w:r>
      <w:r>
        <w:rPr>
          <w:szCs w:val="24"/>
        </w:rPr>
        <w:t>se na řízení zúčastňují</w:t>
      </w:r>
      <w:r>
        <w:rPr>
          <w:szCs w:val="24"/>
          <w:lang w:val="en-US"/>
        </w:rPr>
        <w:t>, a sm</w:t>
      </w:r>
      <w:r>
        <w:rPr>
          <w:szCs w:val="24"/>
        </w:rPr>
        <w:t>ěřuje k určit</w:t>
      </w:r>
      <w:r>
        <w:rPr>
          <w:szCs w:val="24"/>
          <w:lang w:val="fr-FR"/>
        </w:rPr>
        <w:t>é</w:t>
      </w:r>
      <w:r>
        <w:rPr>
          <w:szCs w:val="24"/>
        </w:rPr>
        <w:t>mu cí</w:t>
      </w:r>
      <w:r>
        <w:rPr>
          <w:szCs w:val="24"/>
          <w:lang w:val="it-IT"/>
        </w:rPr>
        <w:t>li. D</w:t>
      </w:r>
      <w:r>
        <w:rPr>
          <w:szCs w:val="24"/>
        </w:rPr>
        <w:t>ěje se tak v civilně procesním vztahu a tato činnost je regulována normami obč</w:t>
      </w:r>
      <w:r>
        <w:rPr>
          <w:szCs w:val="24"/>
          <w:lang w:val="da-DK"/>
        </w:rPr>
        <w:t>ansk</w:t>
      </w:r>
      <w:r>
        <w:rPr>
          <w:szCs w:val="24"/>
          <w:lang w:val="fr-FR"/>
        </w:rPr>
        <w:t>é</w:t>
      </w:r>
      <w:r>
        <w:rPr>
          <w:szCs w:val="24"/>
        </w:rPr>
        <w:t>ho práva procesní</w:t>
      </w:r>
      <w:r>
        <w:rPr>
          <w:szCs w:val="24"/>
          <w:lang w:val="it-IT"/>
        </w:rPr>
        <w:t>ho.</w:t>
      </w:r>
      <w:r w:rsidR="006965B0">
        <w:rPr>
          <w:rStyle w:val="Znakapoznpodarou"/>
          <w:szCs w:val="24"/>
          <w:lang w:val="it-IT"/>
        </w:rPr>
        <w:footnoteReference w:id="31"/>
      </w:r>
      <w:r>
        <w:rPr>
          <w:szCs w:val="24"/>
          <w:lang w:val="it-IT"/>
        </w:rPr>
        <w:t xml:space="preserve"> </w:t>
      </w:r>
    </w:p>
    <w:p w:rsidR="009B70FF" w:rsidRDefault="009B70FF" w:rsidP="009B70FF">
      <w:pPr>
        <w:pStyle w:val="VchozA"/>
        <w:spacing w:after="200" w:line="360" w:lineRule="auto"/>
        <w:ind w:firstLine="708"/>
        <w:jc w:val="both"/>
        <w:rPr>
          <w:rFonts w:ascii="Times New Roman" w:eastAsia="Times New Roman" w:hAnsi="Times New Roman" w:cs="Times New Roman"/>
          <w:sz w:val="24"/>
          <w:szCs w:val="24"/>
        </w:rPr>
      </w:pPr>
      <w:r>
        <w:rPr>
          <w:rFonts w:ascii="Times New Roman" w:hAnsi="Times New Roman"/>
          <w:sz w:val="24"/>
          <w:szCs w:val="24"/>
          <w:shd w:val="clear" w:color="auto" w:fill="FFFFFF"/>
        </w:rPr>
        <w:t>Exekuční řízení je v zásadě upraveno ve dvou základních právních předpisech, a to v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čním řádu a obč</w:t>
      </w:r>
      <w:r>
        <w:rPr>
          <w:rFonts w:ascii="Times New Roman" w:hAnsi="Times New Roman"/>
          <w:sz w:val="24"/>
          <w:szCs w:val="24"/>
          <w:shd w:val="clear" w:color="auto" w:fill="FFFFFF"/>
          <w:lang w:val="da-DK"/>
        </w:rPr>
        <w:t>ansk</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 soudním řádu. Další předpisy upravují vybran</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otázky, resp. jejich podrobnosti. Právní</w:t>
      </w:r>
      <w:r>
        <w:rPr>
          <w:rFonts w:ascii="Times New Roman" w:hAnsi="Times New Roman"/>
          <w:sz w:val="24"/>
          <w:szCs w:val="24"/>
          <w:shd w:val="clear" w:color="auto" w:fill="FFFFFF"/>
          <w:lang w:val="it-IT"/>
        </w:rPr>
        <w:t>mi p</w:t>
      </w:r>
      <w:r>
        <w:rPr>
          <w:rFonts w:ascii="Times New Roman" w:hAnsi="Times New Roman"/>
          <w:sz w:val="24"/>
          <w:szCs w:val="24"/>
          <w:shd w:val="clear" w:color="auto" w:fill="FFFFFF"/>
        </w:rPr>
        <w:t xml:space="preserve">ředpisy upravujícími exekuční řízení jsou následující normy: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Zákon č. 99/1963 Sb., obč</w:t>
      </w:r>
      <w:r>
        <w:rPr>
          <w:szCs w:val="24"/>
          <w:lang w:val="da-DK"/>
        </w:rPr>
        <w:t>ansk</w:t>
      </w:r>
      <w:r>
        <w:rPr>
          <w:szCs w:val="24"/>
        </w:rPr>
        <w:t>ý soudní řád, ve znění pozdějších předpisů a Zákon č. 120/2001 Sb., o soudních exekutorech a exekuční činnosti (exekuční řád),</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Zákon č. 500/2004 Sb., správní řád,</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Zákon č. 280/2009 Sb., daňový řád,</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 xml:space="preserve">Zákon č. 119/2001 Sb., kterým se stanoví pravidla pro případy souběžně probíhajících výkonů rozhodnutí, ve znění pozdějších předpisů,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Vyhlášku č. 37/1992 Sb., o jednacím řádu pro okresní a krajsk</w:t>
      </w:r>
      <w:r>
        <w:rPr>
          <w:szCs w:val="24"/>
          <w:lang w:val="fr-FR"/>
        </w:rPr>
        <w:t xml:space="preserve">é </w:t>
      </w:r>
      <w:r>
        <w:rPr>
          <w:szCs w:val="24"/>
        </w:rPr>
        <w:t xml:space="preserve">soudy, ve znění pozdějších předpisů,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 xml:space="preserve">Vyhláška č. 418/2001 Sb., o postupech při výkonu exekuční </w:t>
      </w:r>
      <w:r>
        <w:rPr>
          <w:szCs w:val="24"/>
          <w:lang w:val="it-IT"/>
        </w:rPr>
        <w:t>a dal</w:t>
      </w:r>
      <w:r>
        <w:rPr>
          <w:szCs w:val="24"/>
        </w:rPr>
        <w:t xml:space="preserve">ší činnosti, ve znění pozdějších předpisů,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Nařízení vlády č. 595/2006 Sb., o způsobu výpočtu základní částky, která nesmí být sražena povinn</w:t>
      </w:r>
      <w:r>
        <w:rPr>
          <w:szCs w:val="24"/>
          <w:lang w:val="fr-FR"/>
        </w:rPr>
        <w:t>é</w:t>
      </w:r>
      <w:r>
        <w:rPr>
          <w:szCs w:val="24"/>
        </w:rPr>
        <w:t xml:space="preserve">mu z měsíční mzdy při výkonu rozhodnutí, a o stanovení částky, nad kterou je mzda postižitelná srážkami bez omezení,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 xml:space="preserve">Vyhláška č. 330/2001 Sb., o odměně a náhradách soudního exekutora, o odměně a náhradě hotových výdajů </w:t>
      </w:r>
      <w:r>
        <w:rPr>
          <w:szCs w:val="24"/>
          <w:lang w:val="de-DE"/>
        </w:rPr>
        <w:t>spr</w:t>
      </w:r>
      <w:r>
        <w:rPr>
          <w:szCs w:val="24"/>
        </w:rPr>
        <w:t>ávce podniku a o podmínkách pojištění odpovědnosti za škody způsoben</w:t>
      </w:r>
      <w:r>
        <w:rPr>
          <w:szCs w:val="24"/>
          <w:lang w:val="fr-FR"/>
        </w:rPr>
        <w:t xml:space="preserve">é </w:t>
      </w:r>
      <w:r>
        <w:rPr>
          <w:szCs w:val="24"/>
        </w:rPr>
        <w:t xml:space="preserve">exekutorem, ve znění pozdějších předpisů, </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Vyhláška č. 254/2015 Sb., o stanovení výš</w:t>
      </w:r>
      <w:r>
        <w:rPr>
          <w:szCs w:val="24"/>
          <w:lang w:val="fr-FR"/>
        </w:rPr>
        <w:t>e pau</w:t>
      </w:r>
      <w:r>
        <w:rPr>
          <w:szCs w:val="24"/>
        </w:rPr>
        <w:t xml:space="preserve">šální náhrady pro účely rozhodování </w:t>
      </w:r>
      <w:r>
        <w:rPr>
          <w:szCs w:val="24"/>
          <w:lang w:val="en-US"/>
        </w:rPr>
        <w:t>o n</w:t>
      </w:r>
      <w:r>
        <w:rPr>
          <w:szCs w:val="24"/>
        </w:rPr>
        <w:t>áhradě nákladů řízení v případech podle § 151 odst. 3 obč</w:t>
      </w:r>
      <w:r>
        <w:rPr>
          <w:szCs w:val="24"/>
          <w:lang w:val="da-DK"/>
        </w:rPr>
        <w:t>ansk</w:t>
      </w:r>
      <w:r>
        <w:rPr>
          <w:szCs w:val="24"/>
          <w:lang w:val="fr-FR"/>
        </w:rPr>
        <w:t>é</w:t>
      </w:r>
      <w:r>
        <w:rPr>
          <w:szCs w:val="24"/>
        </w:rPr>
        <w:t xml:space="preserve">ho soudního řádu a podle § </w:t>
      </w:r>
      <w:r>
        <w:rPr>
          <w:szCs w:val="24"/>
          <w:lang w:val="pt-PT"/>
        </w:rPr>
        <w:t>89a exeku</w:t>
      </w:r>
      <w:r>
        <w:rPr>
          <w:szCs w:val="24"/>
        </w:rPr>
        <w:t>čního řá</w:t>
      </w:r>
      <w:r>
        <w:rPr>
          <w:szCs w:val="24"/>
          <w:lang w:val="fr-FR"/>
        </w:rPr>
        <w:t>du,</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Vyhláška č</w:t>
      </w:r>
      <w:r>
        <w:rPr>
          <w:szCs w:val="24"/>
          <w:lang w:val="pt-PT"/>
        </w:rPr>
        <w:t>. 329/2008 Sb., o centr</w:t>
      </w:r>
      <w:r>
        <w:rPr>
          <w:szCs w:val="24"/>
        </w:rPr>
        <w:t>ální evidenci exekucí, ve znění pozdějších předpisů,</w:t>
      </w:r>
    </w:p>
    <w:p w:rsidR="009B70FF" w:rsidRDefault="009B70FF" w:rsidP="007A2179">
      <w:pPr>
        <w:pStyle w:val="Odstavecseseznamem"/>
        <w:numPr>
          <w:ilvl w:val="0"/>
          <w:numId w:val="3"/>
        </w:numPr>
        <w:pBdr>
          <w:top w:val="nil"/>
          <w:left w:val="nil"/>
          <w:bottom w:val="nil"/>
          <w:right w:val="nil"/>
          <w:between w:val="nil"/>
          <w:bar w:val="nil"/>
        </w:pBdr>
        <w:spacing w:before="0" w:after="200"/>
        <w:contextualSpacing w:val="0"/>
        <w:rPr>
          <w:szCs w:val="24"/>
        </w:rPr>
      </w:pPr>
      <w:r>
        <w:rPr>
          <w:szCs w:val="24"/>
        </w:rPr>
        <w:t>Vyhláška č</w:t>
      </w:r>
      <w:r>
        <w:rPr>
          <w:szCs w:val="24"/>
          <w:lang w:val="pt-PT"/>
        </w:rPr>
        <w:t>. 331/2001 Sb., o centr</w:t>
      </w:r>
      <w:r>
        <w:rPr>
          <w:szCs w:val="24"/>
        </w:rPr>
        <w:t>ální evidenci exekucí.</w:t>
      </w:r>
      <w:r>
        <w:rPr>
          <w:rStyle w:val="Znakapoznpodarou"/>
          <w:rFonts w:eastAsia="Times New Roman" w:cs="Times New Roman"/>
          <w:szCs w:val="24"/>
        </w:rPr>
        <w:footnoteReference w:id="32"/>
      </w:r>
    </w:p>
    <w:p w:rsidR="009B70FF" w:rsidRDefault="009B70FF" w:rsidP="009B70FF">
      <w:pPr>
        <w:spacing w:line="240" w:lineRule="auto"/>
        <w:rPr>
          <w:b/>
          <w:caps/>
          <w:sz w:val="26"/>
          <w:szCs w:val="26"/>
        </w:rPr>
      </w:pPr>
      <w:bookmarkStart w:id="30" w:name="_Toc10"/>
      <w:r>
        <w:rPr>
          <w:sz w:val="26"/>
          <w:szCs w:val="26"/>
        </w:rPr>
        <w:br w:type="page"/>
      </w:r>
    </w:p>
    <w:p w:rsidR="009B70FF" w:rsidRDefault="009B70FF" w:rsidP="00017F20">
      <w:pPr>
        <w:pStyle w:val="Nadpis1"/>
        <w:ind w:firstLine="0"/>
        <w:rPr>
          <w:rFonts w:eastAsia="Times New Roman" w:cs="Times New Roman"/>
        </w:rPr>
      </w:pPr>
      <w:bookmarkStart w:id="31" w:name="_Toc18313945"/>
      <w:r>
        <w:t xml:space="preserve">3 </w:t>
      </w:r>
      <w:r>
        <w:tab/>
      </w:r>
      <w:r w:rsidRPr="003D0425">
        <w:t>Exekuce</w:t>
      </w:r>
      <w:r>
        <w:t xml:space="preserve"> </w:t>
      </w:r>
      <w:r w:rsidRPr="003D0425">
        <w:t>správní</w:t>
      </w:r>
      <w:bookmarkEnd w:id="30"/>
      <w:bookmarkEnd w:id="31"/>
    </w:p>
    <w:p w:rsidR="009B70FF" w:rsidRDefault="009B70FF" w:rsidP="009B70FF">
      <w:pPr>
        <w:ind w:firstLine="708"/>
        <w:rPr>
          <w:rFonts w:eastAsia="Times New Roman" w:cs="Times New Roman"/>
          <w:szCs w:val="24"/>
        </w:rPr>
      </w:pPr>
      <w:r>
        <w:rPr>
          <w:szCs w:val="24"/>
          <w:lang w:val="de-DE"/>
        </w:rPr>
        <w:t>Spr</w:t>
      </w:r>
      <w:r>
        <w:rPr>
          <w:szCs w:val="24"/>
        </w:rPr>
        <w:t>ávní exekuce představuje nucený výkon rozhodnutí, a to postupem správních orgánů, který vede ke splnění povinnosti, uložené výše zmiňovaným správním orgánem. Jedná se o zcela zásadní a nepostradatelnou složku činnosti veřejn</w:t>
      </w:r>
      <w:r>
        <w:rPr>
          <w:szCs w:val="24"/>
          <w:lang w:val="fr-FR"/>
        </w:rPr>
        <w:t xml:space="preserve">é </w:t>
      </w:r>
      <w:r>
        <w:rPr>
          <w:szCs w:val="24"/>
          <w:lang w:val="de-DE"/>
        </w:rPr>
        <w:t>spr</w:t>
      </w:r>
      <w:r>
        <w:rPr>
          <w:szCs w:val="24"/>
        </w:rPr>
        <w:t>ávy. Správní exekuce je vyvrcholení</w:t>
      </w:r>
      <w:r>
        <w:rPr>
          <w:szCs w:val="24"/>
          <w:lang w:val="pt-PT"/>
        </w:rPr>
        <w:t>m cel</w:t>
      </w:r>
      <w:r>
        <w:rPr>
          <w:szCs w:val="24"/>
          <w:lang w:val="fr-FR"/>
        </w:rPr>
        <w:t>é</w:t>
      </w:r>
      <w:r>
        <w:rPr>
          <w:szCs w:val="24"/>
        </w:rPr>
        <w:t xml:space="preserve">ho správního řízení, jeho závěrečným stádiem. Jedná se o jeho nezbytnou složku. </w:t>
      </w:r>
      <w:r>
        <w:rPr>
          <w:rFonts w:eastAsia="Times New Roman" w:cs="Times New Roman"/>
          <w:szCs w:val="24"/>
          <w:vertAlign w:val="superscript"/>
        </w:rPr>
        <w:footnoteReference w:id="33"/>
      </w:r>
    </w:p>
    <w:p w:rsidR="009B70FF" w:rsidRDefault="009B70FF" w:rsidP="009B70FF">
      <w:pPr>
        <w:ind w:firstLine="708"/>
        <w:rPr>
          <w:rFonts w:eastAsia="Times New Roman" w:cs="Times New Roman"/>
          <w:szCs w:val="24"/>
        </w:rPr>
      </w:pPr>
      <w:r>
        <w:rPr>
          <w:szCs w:val="24"/>
        </w:rPr>
        <w:t>Podle platn</w:t>
      </w:r>
      <w:r>
        <w:rPr>
          <w:szCs w:val="24"/>
          <w:lang w:val="fr-FR"/>
        </w:rPr>
        <w:t xml:space="preserve">é </w:t>
      </w:r>
      <w:r>
        <w:rPr>
          <w:szCs w:val="24"/>
        </w:rPr>
        <w:t>právní úpravy lze vykonání výkonu správní</w:t>
      </w:r>
      <w:r>
        <w:rPr>
          <w:szCs w:val="24"/>
          <w:lang w:val="pt-PT"/>
        </w:rPr>
        <w:t>ho exeku</w:t>
      </w:r>
      <w:r>
        <w:rPr>
          <w:szCs w:val="24"/>
        </w:rPr>
        <w:t>čního titulu prov</w:t>
      </w:r>
      <w:r>
        <w:rPr>
          <w:szCs w:val="24"/>
          <w:lang w:val="fr-FR"/>
        </w:rPr>
        <w:t>é</w:t>
      </w:r>
      <w:r>
        <w:rPr>
          <w:szCs w:val="24"/>
        </w:rPr>
        <w:t>st ve č</w:t>
      </w:r>
      <w:r>
        <w:rPr>
          <w:szCs w:val="24"/>
          <w:lang w:val="en-US"/>
        </w:rPr>
        <w:t>ty</w:t>
      </w:r>
      <w:r>
        <w:rPr>
          <w:szCs w:val="24"/>
        </w:rPr>
        <w:t xml:space="preserve">řech nezávislých režimech a to následovně: </w:t>
      </w:r>
    </w:p>
    <w:p w:rsidR="009B70FF" w:rsidRDefault="009B70FF" w:rsidP="007A2179">
      <w:pPr>
        <w:pStyle w:val="Odstavecseseznamem"/>
        <w:numPr>
          <w:ilvl w:val="0"/>
          <w:numId w:val="5"/>
        </w:numPr>
        <w:pBdr>
          <w:top w:val="nil"/>
          <w:left w:val="nil"/>
          <w:bottom w:val="nil"/>
          <w:right w:val="nil"/>
          <w:between w:val="nil"/>
          <w:bar w:val="nil"/>
        </w:pBdr>
        <w:spacing w:before="0" w:after="200"/>
        <w:contextualSpacing w:val="0"/>
        <w:rPr>
          <w:szCs w:val="24"/>
          <w:lang w:val="de-DE"/>
        </w:rPr>
      </w:pPr>
      <w:r>
        <w:rPr>
          <w:szCs w:val="24"/>
          <w:lang w:val="de-DE"/>
        </w:rPr>
        <w:t>Spr</w:t>
      </w:r>
      <w:r>
        <w:rPr>
          <w:szCs w:val="24"/>
        </w:rPr>
        <w:t xml:space="preserve">ávní exekucí, jež je prováděná </w:t>
      </w:r>
      <w:r>
        <w:rPr>
          <w:szCs w:val="24"/>
          <w:lang w:val="de-DE"/>
        </w:rPr>
        <w:t>spr</w:t>
      </w:r>
      <w:r>
        <w:rPr>
          <w:szCs w:val="24"/>
        </w:rPr>
        <w:t>ávním orgánem dle zákona č.500/2004 Sb., správního řádu, ve znění pozdějších předpisů, přičemž je k exekuci oprávněným orgá</w:t>
      </w:r>
      <w:r>
        <w:rPr>
          <w:szCs w:val="24"/>
          <w:lang w:val="de-DE"/>
        </w:rPr>
        <w:t>nem spr</w:t>
      </w:r>
      <w:r>
        <w:rPr>
          <w:szCs w:val="24"/>
        </w:rPr>
        <w:t>ávní orgán, a to podle správního řá</w:t>
      </w:r>
      <w:r>
        <w:rPr>
          <w:szCs w:val="24"/>
          <w:lang w:val="fr-FR"/>
        </w:rPr>
        <w:t xml:space="preserve">du </w:t>
      </w:r>
      <w:r>
        <w:rPr>
          <w:szCs w:val="24"/>
        </w:rPr>
        <w:t>či zvláštního zákona.</w:t>
      </w:r>
    </w:p>
    <w:p w:rsidR="009B70FF" w:rsidRDefault="009B70FF" w:rsidP="007A2179">
      <w:pPr>
        <w:pStyle w:val="Odstavecseseznamem"/>
        <w:numPr>
          <w:ilvl w:val="0"/>
          <w:numId w:val="5"/>
        </w:numPr>
        <w:pBdr>
          <w:top w:val="nil"/>
          <w:left w:val="nil"/>
          <w:bottom w:val="nil"/>
          <w:right w:val="nil"/>
          <w:between w:val="nil"/>
          <w:bar w:val="nil"/>
        </w:pBdr>
        <w:spacing w:before="0" w:after="200"/>
        <w:contextualSpacing w:val="0"/>
        <w:rPr>
          <w:szCs w:val="24"/>
        </w:rPr>
      </w:pPr>
      <w:r>
        <w:rPr>
          <w:szCs w:val="24"/>
        </w:rPr>
        <w:t>Daňovou exekucí podle zákona č. 337/1992 Sb., o správě daní a poplatků, ve znění pozdějších předpisů. Zde je exekučním orgá</w:t>
      </w:r>
      <w:r>
        <w:rPr>
          <w:szCs w:val="24"/>
          <w:lang w:val="de-DE"/>
        </w:rPr>
        <w:t>nem spr</w:t>
      </w:r>
      <w:r>
        <w:rPr>
          <w:szCs w:val="24"/>
        </w:rPr>
        <w:t>ávce daně.</w:t>
      </w:r>
    </w:p>
    <w:p w:rsidR="009B70FF" w:rsidRDefault="009B70FF" w:rsidP="007A2179">
      <w:pPr>
        <w:pStyle w:val="Odstavecseseznamem"/>
        <w:numPr>
          <w:ilvl w:val="0"/>
          <w:numId w:val="5"/>
        </w:numPr>
        <w:pBdr>
          <w:top w:val="nil"/>
          <w:left w:val="nil"/>
          <w:bottom w:val="nil"/>
          <w:right w:val="nil"/>
          <w:between w:val="nil"/>
          <w:bar w:val="nil"/>
        </w:pBdr>
        <w:spacing w:before="0" w:after="200"/>
        <w:contextualSpacing w:val="0"/>
        <w:rPr>
          <w:szCs w:val="24"/>
        </w:rPr>
      </w:pPr>
      <w:r>
        <w:rPr>
          <w:szCs w:val="24"/>
        </w:rPr>
        <w:t>Výkon správní</w:t>
      </w:r>
      <w:r>
        <w:rPr>
          <w:szCs w:val="24"/>
          <w:lang w:val="pt-PT"/>
        </w:rPr>
        <w:t>ho exeku</w:t>
      </w:r>
      <w:r>
        <w:rPr>
          <w:szCs w:val="24"/>
        </w:rPr>
        <w:t>čního titul je tak</w:t>
      </w:r>
      <w:r>
        <w:rPr>
          <w:szCs w:val="24"/>
          <w:lang w:val="fr-FR"/>
        </w:rPr>
        <w:t xml:space="preserve">é </w:t>
      </w:r>
      <w:r>
        <w:rPr>
          <w:szCs w:val="24"/>
        </w:rPr>
        <w:t>možn</w:t>
      </w:r>
      <w:r>
        <w:rPr>
          <w:szCs w:val="24"/>
          <w:lang w:val="fr-FR"/>
        </w:rPr>
        <w:t xml:space="preserve">é </w:t>
      </w:r>
      <w:r>
        <w:rPr>
          <w:szCs w:val="24"/>
        </w:rPr>
        <w:t>prov</w:t>
      </w:r>
      <w:r>
        <w:rPr>
          <w:szCs w:val="24"/>
          <w:lang w:val="fr-FR"/>
        </w:rPr>
        <w:t>é</w:t>
      </w:r>
      <w:r>
        <w:rPr>
          <w:szCs w:val="24"/>
        </w:rPr>
        <w:t>st exekucí soudní, a to podle zákona č. 99/1963 Sb., občanský soudní řád, ve znění pozdějších předpisů-část šestá, a</w:t>
      </w:r>
    </w:p>
    <w:p w:rsidR="009B70FF" w:rsidRDefault="009B70FF" w:rsidP="007A2179">
      <w:pPr>
        <w:pStyle w:val="Odstavecseseznamem"/>
        <w:numPr>
          <w:ilvl w:val="0"/>
          <w:numId w:val="5"/>
        </w:numPr>
        <w:pBdr>
          <w:top w:val="nil"/>
          <w:left w:val="nil"/>
          <w:bottom w:val="nil"/>
          <w:right w:val="nil"/>
          <w:between w:val="nil"/>
          <w:bar w:val="nil"/>
        </w:pBdr>
        <w:spacing w:before="0" w:after="200"/>
        <w:contextualSpacing w:val="0"/>
        <w:rPr>
          <w:szCs w:val="24"/>
        </w:rPr>
      </w:pPr>
      <w:r>
        <w:rPr>
          <w:szCs w:val="24"/>
        </w:rPr>
        <w:t xml:space="preserve">Soudní exekucí prováděnou soudním exekutorem podle zákona č. 120/2001 Sb., o soudních exekutorech a exekuční činnosti (exekuční řád) a změně </w:t>
      </w:r>
      <w:r>
        <w:rPr>
          <w:szCs w:val="24"/>
          <w:lang w:val="it-IT"/>
        </w:rPr>
        <w:t>dal</w:t>
      </w:r>
      <w:r>
        <w:rPr>
          <w:szCs w:val="24"/>
        </w:rPr>
        <w:t>ších zákonů.</w:t>
      </w:r>
      <w:r>
        <w:rPr>
          <w:rStyle w:val="Znakapoznpodarou"/>
          <w:rFonts w:eastAsia="Times New Roman" w:cs="Times New Roman"/>
          <w:szCs w:val="24"/>
        </w:rPr>
        <w:footnoteReference w:id="34"/>
      </w:r>
    </w:p>
    <w:p w:rsidR="009B70FF" w:rsidRPr="00DC1065" w:rsidRDefault="009B70FF" w:rsidP="007A2179">
      <w:pPr>
        <w:pStyle w:val="Nadpis2"/>
        <w:numPr>
          <w:ilvl w:val="1"/>
          <w:numId w:val="34"/>
        </w:numPr>
        <w:pBdr>
          <w:top w:val="nil"/>
          <w:left w:val="nil"/>
          <w:bottom w:val="nil"/>
          <w:right w:val="nil"/>
          <w:between w:val="nil"/>
          <w:bar w:val="nil"/>
        </w:pBdr>
        <w:spacing w:before="260" w:after="260" w:line="240" w:lineRule="auto"/>
        <w:ind w:left="709" w:hanging="709"/>
        <w:rPr>
          <w:rFonts w:eastAsia="Times New Roman" w:cs="Times New Roman"/>
          <w:color w:val="000000"/>
        </w:rPr>
      </w:pPr>
      <w:bookmarkStart w:id="32" w:name="_Toc18276724"/>
      <w:bookmarkStart w:id="33" w:name="_Toc18313946"/>
      <w:bookmarkStart w:id="34" w:name="_Toc11"/>
      <w:r>
        <w:rPr>
          <w:color w:val="000000"/>
          <w:u w:color="000000"/>
        </w:rPr>
        <w:t>Exekuční titul</w:t>
      </w:r>
      <w:bookmarkEnd w:id="32"/>
      <w:bookmarkEnd w:id="33"/>
      <w:r>
        <w:rPr>
          <w:color w:val="000000"/>
          <w:u w:color="000000"/>
        </w:rPr>
        <w:t xml:space="preserve"> </w:t>
      </w:r>
      <w:bookmarkEnd w:id="34"/>
    </w:p>
    <w:p w:rsidR="009B70FF" w:rsidRDefault="009B70FF" w:rsidP="009B70FF">
      <w:pPr>
        <w:ind w:firstLine="708"/>
        <w:rPr>
          <w:rFonts w:eastAsia="Times New Roman" w:cs="Times New Roman"/>
          <w:szCs w:val="24"/>
        </w:rPr>
      </w:pPr>
      <w:r>
        <w:rPr>
          <w:szCs w:val="24"/>
        </w:rPr>
        <w:t>Základní podmínkou nucen</w:t>
      </w:r>
      <w:r>
        <w:rPr>
          <w:szCs w:val="24"/>
          <w:lang w:val="fr-FR"/>
        </w:rPr>
        <w:t>é</w:t>
      </w:r>
      <w:r>
        <w:rPr>
          <w:szCs w:val="24"/>
        </w:rPr>
        <w:t>ho výkonu povinnosti je Exekuční titul. Je to začátek exekuce, na jehož základě může věřitel, který tímto titulem disponuje, požá</w:t>
      </w:r>
      <w:r>
        <w:rPr>
          <w:szCs w:val="24"/>
          <w:lang w:val="pt-PT"/>
        </w:rPr>
        <w:t>dat exeku</w:t>
      </w:r>
      <w:r>
        <w:rPr>
          <w:szCs w:val="24"/>
        </w:rPr>
        <w:t>ční orgány o vykonání exekuce. Exekuční titul určuje povinn</w:t>
      </w:r>
      <w:r>
        <w:rPr>
          <w:szCs w:val="24"/>
          <w:lang w:val="fr-FR"/>
        </w:rPr>
        <w:t>é</w:t>
      </w:r>
      <w:r>
        <w:rPr>
          <w:szCs w:val="24"/>
        </w:rPr>
        <w:t>ho a zároveň vymezuje obsah i rozsah uložen</w:t>
      </w:r>
      <w:r>
        <w:rPr>
          <w:szCs w:val="24"/>
          <w:lang w:val="fr-FR"/>
        </w:rPr>
        <w:t xml:space="preserve">é </w:t>
      </w:r>
      <w:r>
        <w:rPr>
          <w:szCs w:val="24"/>
        </w:rPr>
        <w:t xml:space="preserve">povinnosti. </w:t>
      </w:r>
    </w:p>
    <w:p w:rsidR="009B70FF" w:rsidRPr="00053343" w:rsidRDefault="00017F20" w:rsidP="00017F20">
      <w:pPr>
        <w:pStyle w:val="Nadpis3"/>
        <w:ind w:firstLine="0"/>
        <w:rPr>
          <w:rFonts w:eastAsia="Times New Roman" w:cs="Times New Roman"/>
        </w:rPr>
      </w:pPr>
      <w:bookmarkStart w:id="35" w:name="_Toc18276725"/>
      <w:bookmarkStart w:id="36" w:name="_Toc18313947"/>
      <w:bookmarkStart w:id="37" w:name="_Toc12"/>
      <w:r>
        <w:rPr>
          <w:u w:color="000000"/>
        </w:rPr>
        <w:t>3.1.1</w:t>
      </w:r>
      <w:r>
        <w:rPr>
          <w:u w:color="000000"/>
        </w:rPr>
        <w:tab/>
      </w:r>
      <w:r w:rsidR="009B70FF" w:rsidRPr="00053343">
        <w:rPr>
          <w:u w:color="000000"/>
        </w:rPr>
        <w:t>Exekuční titul dle správního řá</w:t>
      </w:r>
      <w:r w:rsidR="009B70FF" w:rsidRPr="00053343">
        <w:rPr>
          <w:u w:color="000000"/>
          <w:lang w:val="fr-FR"/>
        </w:rPr>
        <w:t>du</w:t>
      </w:r>
      <w:bookmarkEnd w:id="35"/>
      <w:bookmarkEnd w:id="36"/>
      <w:r w:rsidR="009B70FF" w:rsidRPr="00053343">
        <w:rPr>
          <w:u w:color="000000"/>
          <w:lang w:val="fr-FR"/>
        </w:rPr>
        <w:t xml:space="preserve"> </w:t>
      </w:r>
      <w:bookmarkEnd w:id="37"/>
    </w:p>
    <w:p w:rsidR="009B70FF" w:rsidRPr="00017F20" w:rsidRDefault="009B70FF" w:rsidP="00017F20">
      <w:pPr>
        <w:rPr>
          <w:rFonts w:eastAsia="Times New Roman" w:cs="Times New Roman"/>
        </w:rPr>
      </w:pPr>
      <w:bookmarkStart w:id="38" w:name="_Toc18276726"/>
      <w:r w:rsidRPr="00017F20">
        <w:t xml:space="preserve">V případě zvolení </w:t>
      </w:r>
      <w:r w:rsidRPr="00017F20">
        <w:rPr>
          <w:lang w:val="de-DE"/>
        </w:rPr>
        <w:t>spr</w:t>
      </w:r>
      <w:r w:rsidRPr="00017F20">
        <w:t>ávní exekuce můž</w:t>
      </w:r>
      <w:r w:rsidRPr="00017F20">
        <w:rPr>
          <w:lang w:val="pt-PT"/>
        </w:rPr>
        <w:t>e exeku</w:t>
      </w:r>
      <w:r w:rsidRPr="00017F20">
        <w:t>ční titul u exekučního orgánu uplatňovat správní orgán, jenž v prvním stupni vydal rozhodnutí nebo schválil smír, či osoba, která je oprávněná z </w:t>
      </w:r>
      <w:r w:rsidRPr="00017F20">
        <w:rPr>
          <w:lang w:val="pt-PT"/>
        </w:rPr>
        <w:t>exeku</w:t>
      </w:r>
      <w:r w:rsidRPr="00017F20">
        <w:t>čního titulu.</w:t>
      </w:r>
      <w:bookmarkEnd w:id="38"/>
      <w:r w:rsidR="006965B0">
        <w:rPr>
          <w:rStyle w:val="Znakapoznpodarou"/>
        </w:rPr>
        <w:footnoteReference w:id="35"/>
      </w:r>
      <w:r w:rsidRPr="00017F20">
        <w:t xml:space="preserve"> </w:t>
      </w:r>
    </w:p>
    <w:p w:rsidR="009B70FF" w:rsidRDefault="009B70FF" w:rsidP="009B70FF">
      <w:pPr>
        <w:rPr>
          <w:rFonts w:eastAsia="Times New Roman" w:cs="Times New Roman"/>
          <w:szCs w:val="24"/>
        </w:rPr>
      </w:pPr>
      <w:r>
        <w:rPr>
          <w:szCs w:val="24"/>
        </w:rPr>
        <w:t xml:space="preserve">Podle § 104, zákona č. 500/2004 Sb., správního řádu je exekučním titulem: </w:t>
      </w:r>
    </w:p>
    <w:p w:rsidR="009B70FF" w:rsidRDefault="009B70FF" w:rsidP="009B70FF">
      <w:pPr>
        <w:rPr>
          <w:rFonts w:eastAsia="Times New Roman" w:cs="Times New Roman"/>
          <w:szCs w:val="24"/>
        </w:rPr>
      </w:pPr>
      <w:r>
        <w:rPr>
          <w:i/>
          <w:iCs/>
          <w:szCs w:val="24"/>
        </w:rPr>
        <w:t>a)“ vykonateln</w:t>
      </w:r>
      <w:r>
        <w:rPr>
          <w:i/>
          <w:iCs/>
          <w:szCs w:val="24"/>
          <w:lang w:val="fr-FR"/>
        </w:rPr>
        <w:t xml:space="preserve">é </w:t>
      </w:r>
      <w:r>
        <w:rPr>
          <w:i/>
          <w:iCs/>
          <w:szCs w:val="24"/>
        </w:rPr>
        <w:t>rozhodnutí uveden</w:t>
      </w:r>
      <w:r>
        <w:rPr>
          <w:i/>
          <w:iCs/>
          <w:szCs w:val="24"/>
          <w:lang w:val="fr-FR"/>
        </w:rPr>
        <w:t xml:space="preserve">é </w:t>
      </w:r>
      <w:r>
        <w:rPr>
          <w:i/>
          <w:iCs/>
          <w:szCs w:val="24"/>
        </w:rPr>
        <w:t xml:space="preserve">v § 74, nebo </w:t>
      </w:r>
    </w:p>
    <w:p w:rsidR="009B70FF" w:rsidRDefault="009B70FF" w:rsidP="009B70FF">
      <w:pPr>
        <w:rPr>
          <w:rFonts w:eastAsia="Times New Roman" w:cs="Times New Roman"/>
          <w:i/>
          <w:iCs/>
          <w:szCs w:val="24"/>
        </w:rPr>
      </w:pPr>
      <w:r>
        <w:rPr>
          <w:i/>
          <w:iCs/>
          <w:szCs w:val="24"/>
        </w:rPr>
        <w:t xml:space="preserve">b) vykonatelný smír uvedený v § 141 odst. 8.“ </w:t>
      </w:r>
    </w:p>
    <w:p w:rsidR="009B70FF" w:rsidRDefault="009B70FF" w:rsidP="009B70FF">
      <w:pPr>
        <w:ind w:firstLine="708"/>
        <w:rPr>
          <w:rFonts w:eastAsia="Times New Roman" w:cs="Times New Roman"/>
          <w:szCs w:val="24"/>
        </w:rPr>
      </w:pPr>
      <w:r>
        <w:rPr>
          <w:szCs w:val="24"/>
        </w:rPr>
        <w:t>Důležitou podmínkou pro to, aby se rozhodnutí či smír staly exekučním titulem je vykonatelnost. Rozhodnutí je vykonateln</w:t>
      </w:r>
      <w:r>
        <w:rPr>
          <w:szCs w:val="24"/>
          <w:lang w:val="fr-FR"/>
        </w:rPr>
        <w:t xml:space="preserve">é </w:t>
      </w:r>
      <w:r>
        <w:rPr>
          <w:szCs w:val="24"/>
        </w:rPr>
        <w:t>dnem nabytí</w:t>
      </w:r>
      <w:r>
        <w:rPr>
          <w:szCs w:val="24"/>
          <w:lang w:val="pt-PT"/>
        </w:rPr>
        <w:t>m pr</w:t>
      </w:r>
      <w:r>
        <w:rPr>
          <w:szCs w:val="24"/>
        </w:rPr>
        <w:t>ávní moci či dnem pozdějším, jež je uveden ve výrokové části. Rozhodnutí je předběžně vykonateln</w:t>
      </w:r>
      <w:r>
        <w:rPr>
          <w:szCs w:val="24"/>
          <w:lang w:val="fr-FR"/>
        </w:rPr>
        <w:t xml:space="preserve">é </w:t>
      </w:r>
      <w:r>
        <w:rPr>
          <w:szCs w:val="24"/>
        </w:rPr>
        <w:t>v případě, že odvolání nemá odkladný účinek. Rozhodnutí ukládající povinnost k určit</w:t>
      </w:r>
      <w:r>
        <w:rPr>
          <w:szCs w:val="24"/>
          <w:lang w:val="fr-FR"/>
        </w:rPr>
        <w:t>é</w:t>
      </w:r>
      <w:r>
        <w:rPr>
          <w:szCs w:val="24"/>
        </w:rPr>
        <w:t xml:space="preserve">mu plnění </w:t>
      </w:r>
      <w:r>
        <w:rPr>
          <w:szCs w:val="24"/>
          <w:lang w:val="nl-NL"/>
        </w:rPr>
        <w:t>se st</w:t>
      </w:r>
      <w:r>
        <w:rPr>
          <w:szCs w:val="24"/>
        </w:rPr>
        <w:t xml:space="preserve">ává vykonatelným v případě, že nabylo právní moci a uplynula lhůta ke splnění </w:t>
      </w:r>
      <w:r>
        <w:rPr>
          <w:szCs w:val="24"/>
          <w:lang w:val="es-ES_tradnl"/>
        </w:rPr>
        <w:t>ulo</w:t>
      </w:r>
      <w:r>
        <w:rPr>
          <w:szCs w:val="24"/>
        </w:rPr>
        <w:t>žen</w:t>
      </w:r>
      <w:r>
        <w:rPr>
          <w:szCs w:val="24"/>
          <w:lang w:val="fr-FR"/>
        </w:rPr>
        <w:t xml:space="preserve">é </w:t>
      </w:r>
      <w:r>
        <w:rPr>
          <w:szCs w:val="24"/>
        </w:rPr>
        <w:t>povinnosti. Rozhodnutí, kter</w:t>
      </w:r>
      <w:r>
        <w:rPr>
          <w:szCs w:val="24"/>
          <w:lang w:val="fr-FR"/>
        </w:rPr>
        <w:t xml:space="preserve">é </w:t>
      </w:r>
      <w:r>
        <w:rPr>
          <w:szCs w:val="24"/>
        </w:rPr>
        <w:t>ukládá povinnosti k plnění, je předběžně vykonateln</w:t>
      </w:r>
      <w:r>
        <w:rPr>
          <w:szCs w:val="24"/>
          <w:lang w:val="fr-FR"/>
        </w:rPr>
        <w:t>é</w:t>
      </w:r>
      <w:r>
        <w:rPr>
          <w:szCs w:val="24"/>
        </w:rPr>
        <w:t xml:space="preserve"> pokud odvolání nemá odkladný účinek a uplynula lhůta ke splnění t</w:t>
      </w:r>
      <w:r>
        <w:rPr>
          <w:szCs w:val="24"/>
          <w:lang w:val="fr-FR"/>
        </w:rPr>
        <w:t>é</w:t>
      </w:r>
      <w:r>
        <w:rPr>
          <w:szCs w:val="24"/>
        </w:rPr>
        <w:t>to povinnosti. Zároveň je zde možnost odložení vykonatelnosti rozhodnutí, jakož</w:t>
      </w:r>
      <w:r>
        <w:rPr>
          <w:szCs w:val="24"/>
          <w:lang w:val="pt-PT"/>
        </w:rPr>
        <w:t>to exeku</w:t>
      </w:r>
      <w:r>
        <w:rPr>
          <w:szCs w:val="24"/>
        </w:rPr>
        <w:t xml:space="preserve">čního titulu. </w:t>
      </w:r>
      <w:r>
        <w:rPr>
          <w:rFonts w:eastAsia="Times New Roman" w:cs="Times New Roman"/>
          <w:szCs w:val="24"/>
          <w:vertAlign w:val="superscript"/>
        </w:rPr>
        <w:footnoteReference w:id="36"/>
      </w:r>
    </w:p>
    <w:p w:rsidR="009B70FF" w:rsidRDefault="009B70FF" w:rsidP="009B70FF">
      <w:pPr>
        <w:ind w:firstLine="708"/>
        <w:rPr>
          <w:rFonts w:eastAsia="Times New Roman" w:cs="Times New Roman"/>
          <w:szCs w:val="24"/>
        </w:rPr>
      </w:pPr>
      <w:r>
        <w:rPr>
          <w:rFonts w:eastAsia="Times New Roman" w:cs="Times New Roman"/>
          <w:szCs w:val="24"/>
        </w:rPr>
        <w:t>Pozastaven</w:t>
      </w:r>
      <w:r>
        <w:rPr>
          <w:szCs w:val="24"/>
        </w:rPr>
        <w:t>í vykonatelnosti rozhodnutí je možn</w:t>
      </w:r>
      <w:r>
        <w:rPr>
          <w:szCs w:val="24"/>
          <w:lang w:val="fr-FR"/>
        </w:rPr>
        <w:t xml:space="preserve">é </w:t>
      </w:r>
      <w:r>
        <w:rPr>
          <w:szCs w:val="24"/>
        </w:rPr>
        <w:t>i na základě právní úpravy podle soudního řádu správní</w:t>
      </w:r>
      <w:r>
        <w:rPr>
          <w:szCs w:val="24"/>
          <w:lang w:val="en-US"/>
        </w:rPr>
        <w:t>ho. Soud usnesen</w:t>
      </w:r>
      <w:r>
        <w:rPr>
          <w:szCs w:val="24"/>
        </w:rPr>
        <w:t>í</w:t>
      </w:r>
      <w:r>
        <w:rPr>
          <w:szCs w:val="24"/>
          <w:lang w:val="pt-PT"/>
        </w:rPr>
        <w:t>m p</w:t>
      </w:r>
      <w:r>
        <w:rPr>
          <w:szCs w:val="24"/>
        </w:rPr>
        <w:t>řizná žalobě odkladný účinek, a to na návrh žalobce, po vyjádření žalovan</w:t>
      </w:r>
      <w:r>
        <w:rPr>
          <w:szCs w:val="24"/>
          <w:lang w:val="fr-FR"/>
        </w:rPr>
        <w:t>é</w:t>
      </w:r>
      <w:r>
        <w:rPr>
          <w:szCs w:val="24"/>
        </w:rPr>
        <w:t>ho. Toto může nastat v případě, že by výkon nebo jin</w:t>
      </w:r>
      <w:r>
        <w:rPr>
          <w:szCs w:val="24"/>
          <w:lang w:val="fr-FR"/>
        </w:rPr>
        <w:t xml:space="preserve">é </w:t>
      </w:r>
      <w:r>
        <w:rPr>
          <w:szCs w:val="24"/>
        </w:rPr>
        <w:t>právní následky rozhodnutí pro žalobce znamenaly nenahraditelnou újmu a odkladný účinek by se nedotkl nabytí práv třetích osob nepřiměřeným způsobem a nebyl by v rozporu s veřejným pořádkem. Přiznáním odkladn</w:t>
      </w:r>
      <w:r>
        <w:rPr>
          <w:szCs w:val="24"/>
          <w:lang w:val="fr-FR"/>
        </w:rPr>
        <w:t>é</w:t>
      </w:r>
      <w:r>
        <w:rPr>
          <w:szCs w:val="24"/>
        </w:rPr>
        <w:t>ho účinku se pozastavují veškeré účinky napaden</w:t>
      </w:r>
      <w:r>
        <w:rPr>
          <w:szCs w:val="24"/>
          <w:lang w:val="fr-FR"/>
        </w:rPr>
        <w:t>é</w:t>
      </w:r>
      <w:r>
        <w:rPr>
          <w:szCs w:val="24"/>
        </w:rPr>
        <w:t xml:space="preserve">ho rozhodnutí, a to do skončení řízení před soudem. </w:t>
      </w:r>
      <w:r>
        <w:rPr>
          <w:rFonts w:eastAsia="Times New Roman" w:cs="Times New Roman"/>
          <w:szCs w:val="24"/>
          <w:vertAlign w:val="superscript"/>
        </w:rPr>
        <w:footnoteReference w:id="37"/>
      </w:r>
    </w:p>
    <w:p w:rsidR="009B70FF" w:rsidRDefault="009B70FF" w:rsidP="009B70FF">
      <w:pPr>
        <w:rPr>
          <w:rFonts w:eastAsia="Times New Roman" w:cs="Times New Roman"/>
          <w:szCs w:val="24"/>
        </w:rPr>
      </w:pPr>
      <w:r>
        <w:rPr>
          <w:rFonts w:eastAsia="Times New Roman" w:cs="Times New Roman"/>
          <w:szCs w:val="24"/>
        </w:rPr>
        <w:t>Exeku</w:t>
      </w:r>
      <w:r>
        <w:rPr>
          <w:szCs w:val="24"/>
        </w:rPr>
        <w:t xml:space="preserve">čním titulem může být rozhodnutí, jímž </w:t>
      </w:r>
      <w:r>
        <w:rPr>
          <w:szCs w:val="24"/>
          <w:lang w:val="de-DE"/>
        </w:rPr>
        <w:t>spr</w:t>
      </w:r>
      <w:r>
        <w:rPr>
          <w:szCs w:val="24"/>
        </w:rPr>
        <w:t>ávní orgán zakládá, mění nebo ruší práva a povinnosti určit</w:t>
      </w:r>
      <w:r>
        <w:rPr>
          <w:szCs w:val="24"/>
          <w:lang w:val="fr-FR"/>
        </w:rPr>
        <w:t xml:space="preserve">é </w:t>
      </w:r>
      <w:r>
        <w:rPr>
          <w:szCs w:val="24"/>
        </w:rPr>
        <w:t>osoby či prohlašuje, že osoba práva a povinnosti má či nemá. Uložit povinnosti v řízení z moci úřední nebo ve sporn</w:t>
      </w:r>
      <w:r>
        <w:rPr>
          <w:szCs w:val="24"/>
          <w:lang w:val="fr-FR"/>
        </w:rPr>
        <w:t>é</w:t>
      </w:r>
      <w:r>
        <w:rPr>
          <w:szCs w:val="24"/>
        </w:rPr>
        <w:t>m řízení je možn</w:t>
      </w:r>
      <w:r>
        <w:rPr>
          <w:szCs w:val="24"/>
          <w:lang w:val="fr-FR"/>
        </w:rPr>
        <w:t xml:space="preserve">é </w:t>
      </w:r>
      <w:r>
        <w:rPr>
          <w:szCs w:val="24"/>
        </w:rPr>
        <w:t>příkazem, který je zvláštním druhem rozhodnutí. Tento příkaz se stává pravomocným a vykonatelným rozhodnutím, jestliže proti němu nebyl podán odpor. Podle § 141 odst. 8 může bý</w:t>
      </w:r>
      <w:r>
        <w:rPr>
          <w:szCs w:val="24"/>
          <w:lang w:val="en-US"/>
        </w:rPr>
        <w:t>t exeku</w:t>
      </w:r>
      <w:r>
        <w:rPr>
          <w:szCs w:val="24"/>
        </w:rPr>
        <w:t>čním titulem i vykonatelný smír, který mohou účastníci uzavřít v rámci sporn</w:t>
      </w:r>
      <w:r>
        <w:rPr>
          <w:szCs w:val="24"/>
          <w:lang w:val="fr-FR"/>
        </w:rPr>
        <w:t>é</w:t>
      </w:r>
      <w:r>
        <w:rPr>
          <w:szCs w:val="24"/>
        </w:rPr>
        <w:t xml:space="preserve">ho řízení. </w:t>
      </w:r>
      <w:r>
        <w:rPr>
          <w:rFonts w:eastAsia="Times New Roman" w:cs="Times New Roman"/>
          <w:szCs w:val="24"/>
          <w:vertAlign w:val="superscript"/>
        </w:rPr>
        <w:footnoteReference w:id="38"/>
      </w:r>
    </w:p>
    <w:p w:rsidR="009B70FF" w:rsidRPr="00053343" w:rsidRDefault="00017F20" w:rsidP="00017F20">
      <w:pPr>
        <w:pStyle w:val="Nadpis3"/>
        <w:ind w:firstLine="0"/>
        <w:rPr>
          <w:rFonts w:eastAsia="Times New Roman" w:cs="Times New Roman"/>
        </w:rPr>
      </w:pPr>
      <w:bookmarkStart w:id="39" w:name="_Toc18276727"/>
      <w:bookmarkStart w:id="40" w:name="_Toc18313948"/>
      <w:bookmarkStart w:id="41" w:name="_Toc13"/>
      <w:r>
        <w:rPr>
          <w:u w:color="000000"/>
        </w:rPr>
        <w:t>3.1.2</w:t>
      </w:r>
      <w:r>
        <w:rPr>
          <w:u w:color="000000"/>
        </w:rPr>
        <w:tab/>
      </w:r>
      <w:r w:rsidR="009B70FF" w:rsidRPr="00053343">
        <w:rPr>
          <w:u w:color="000000"/>
        </w:rPr>
        <w:t>Exekuční titul dle daňov</w:t>
      </w:r>
      <w:r w:rsidR="009B70FF" w:rsidRPr="00053343">
        <w:rPr>
          <w:u w:color="000000"/>
          <w:lang w:val="fr-FR"/>
        </w:rPr>
        <w:t>é</w:t>
      </w:r>
      <w:r w:rsidR="009B70FF" w:rsidRPr="00053343">
        <w:rPr>
          <w:u w:color="000000"/>
        </w:rPr>
        <w:t>ho řá</w:t>
      </w:r>
      <w:r w:rsidR="009B70FF" w:rsidRPr="00053343">
        <w:rPr>
          <w:u w:color="000000"/>
          <w:lang w:val="fr-FR"/>
        </w:rPr>
        <w:t>du</w:t>
      </w:r>
      <w:bookmarkEnd w:id="39"/>
      <w:bookmarkEnd w:id="40"/>
      <w:r w:rsidR="009B70FF" w:rsidRPr="00053343">
        <w:rPr>
          <w:u w:color="000000"/>
          <w:lang w:val="fr-FR"/>
        </w:rPr>
        <w:t xml:space="preserve"> </w:t>
      </w:r>
      <w:bookmarkEnd w:id="41"/>
    </w:p>
    <w:p w:rsidR="009B70FF" w:rsidRPr="00017F20" w:rsidRDefault="009B70FF" w:rsidP="00017F20">
      <w:pPr>
        <w:rPr>
          <w:rFonts w:eastAsia="Times New Roman" w:cs="Times New Roman"/>
        </w:rPr>
      </w:pPr>
      <w:bookmarkStart w:id="42" w:name="_Toc18276728"/>
      <w:r w:rsidRPr="00017F20">
        <w:t>Exekučním titulem, v rámci exekuce daňov</w:t>
      </w:r>
      <w:r w:rsidRPr="00017F20">
        <w:rPr>
          <w:lang w:val="fr-FR"/>
        </w:rPr>
        <w:t>é</w:t>
      </w:r>
      <w:r w:rsidRPr="00017F20">
        <w:t>, podle § 176, odst. 1, zákona č. 280/2009 Sb., daňov</w:t>
      </w:r>
      <w:r w:rsidRPr="00017F20">
        <w:rPr>
          <w:lang w:val="fr-FR"/>
        </w:rPr>
        <w:t>é</w:t>
      </w:r>
      <w:r w:rsidRPr="00017F20">
        <w:t>ho řádu je:</w:t>
      </w:r>
      <w:bookmarkEnd w:id="42"/>
      <w:r w:rsidRPr="00017F20">
        <w:t xml:space="preserve"> </w:t>
      </w:r>
    </w:p>
    <w:p w:rsidR="009B70FF" w:rsidRDefault="009B70FF" w:rsidP="009B70FF">
      <w:pPr>
        <w:rPr>
          <w:rFonts w:eastAsia="Times New Roman" w:cs="Times New Roman"/>
          <w:szCs w:val="24"/>
        </w:rPr>
      </w:pPr>
      <w:r>
        <w:rPr>
          <w:i/>
          <w:iCs/>
          <w:szCs w:val="24"/>
        </w:rPr>
        <w:t xml:space="preserve">a)“ výkaz nedoplatků sestavený z údajů </w:t>
      </w:r>
      <w:r>
        <w:rPr>
          <w:i/>
          <w:iCs/>
          <w:szCs w:val="24"/>
          <w:lang w:val="fr-FR"/>
        </w:rPr>
        <w:t>evidence dan</w:t>
      </w:r>
      <w:r>
        <w:rPr>
          <w:i/>
          <w:iCs/>
          <w:szCs w:val="24"/>
        </w:rPr>
        <w:t xml:space="preserve">í, </w:t>
      </w:r>
    </w:p>
    <w:p w:rsidR="009B70FF" w:rsidRDefault="009B70FF" w:rsidP="009B70FF">
      <w:pPr>
        <w:rPr>
          <w:rFonts w:eastAsia="Times New Roman" w:cs="Times New Roman"/>
          <w:szCs w:val="24"/>
        </w:rPr>
      </w:pPr>
      <w:r>
        <w:rPr>
          <w:i/>
          <w:iCs/>
          <w:szCs w:val="24"/>
        </w:rPr>
        <w:t>b) vykonateln</w:t>
      </w:r>
      <w:r>
        <w:rPr>
          <w:i/>
          <w:iCs/>
          <w:szCs w:val="24"/>
          <w:lang w:val="fr-FR"/>
        </w:rPr>
        <w:t xml:space="preserve">é </w:t>
      </w:r>
      <w:r>
        <w:rPr>
          <w:i/>
          <w:iCs/>
          <w:szCs w:val="24"/>
        </w:rPr>
        <w:t>rozhodnutí, kterým je stanoveno peněžit</w:t>
      </w:r>
      <w:r>
        <w:rPr>
          <w:i/>
          <w:iCs/>
          <w:szCs w:val="24"/>
          <w:lang w:val="fr-FR"/>
        </w:rPr>
        <w:t xml:space="preserve">é </w:t>
      </w:r>
      <w:r>
        <w:rPr>
          <w:i/>
          <w:iCs/>
          <w:szCs w:val="24"/>
        </w:rPr>
        <w:t xml:space="preserve">plnění, nebo </w:t>
      </w:r>
    </w:p>
    <w:p w:rsidR="009B70FF" w:rsidRDefault="009B70FF" w:rsidP="009B70FF">
      <w:pPr>
        <w:rPr>
          <w:rFonts w:eastAsia="Times New Roman" w:cs="Times New Roman"/>
          <w:i/>
          <w:iCs/>
          <w:szCs w:val="24"/>
        </w:rPr>
      </w:pPr>
      <w:r>
        <w:rPr>
          <w:i/>
          <w:iCs/>
          <w:szCs w:val="24"/>
        </w:rPr>
        <w:t>c) vykonatelný zajišťovací příkaz.“</w:t>
      </w:r>
    </w:p>
    <w:p w:rsidR="009B70FF" w:rsidRDefault="009B70FF" w:rsidP="009B70FF">
      <w:pPr>
        <w:ind w:firstLine="708"/>
        <w:rPr>
          <w:rFonts w:eastAsia="Times New Roman" w:cs="Times New Roman"/>
          <w:szCs w:val="24"/>
        </w:rPr>
      </w:pPr>
      <w:r>
        <w:rPr>
          <w:szCs w:val="24"/>
        </w:rPr>
        <w:t>V rámci exekuce podle daňov</w:t>
      </w:r>
      <w:r>
        <w:rPr>
          <w:szCs w:val="24"/>
          <w:lang w:val="fr-FR"/>
        </w:rPr>
        <w:t>é</w:t>
      </w:r>
      <w:r>
        <w:rPr>
          <w:szCs w:val="24"/>
        </w:rPr>
        <w:t>ho řádu je exekuční titul předpokladem a podmínkou pro vymáhání nedoplatků. Ustanovení výše je taxativní výčet potenciální</w:t>
      </w:r>
      <w:r>
        <w:rPr>
          <w:szCs w:val="24"/>
          <w:lang w:val="sv-SE"/>
        </w:rPr>
        <w:t>ch exeku</w:t>
      </w:r>
      <w:r>
        <w:rPr>
          <w:szCs w:val="24"/>
        </w:rPr>
        <w:t>čních titulů. Exekuční titul musí bý</w:t>
      </w:r>
      <w:r>
        <w:rPr>
          <w:szCs w:val="24"/>
          <w:lang w:val="da-DK"/>
        </w:rPr>
        <w:t>t form</w:t>
      </w:r>
      <w:r>
        <w:rPr>
          <w:szCs w:val="24"/>
        </w:rPr>
        <w:t xml:space="preserve">álně vykonatelný </w:t>
      </w:r>
      <w:r>
        <w:rPr>
          <w:szCs w:val="24"/>
          <w:lang w:val="it-IT"/>
        </w:rPr>
        <w:t>a mus</w:t>
      </w:r>
      <w:r>
        <w:rPr>
          <w:szCs w:val="24"/>
        </w:rPr>
        <w:t>í splňovat požadavek určitosti osob a povinností. Naplnění požadavků zákona na formulaci rozhodnutí zajištuje materiální vykonatelnost. Formální vykonatelnost je stanovena v ust. § 103 DŘ, podle toho je rozhodnutí, jež je účinn</w:t>
      </w:r>
      <w:r>
        <w:rPr>
          <w:szCs w:val="24"/>
          <w:lang w:val="fr-FR"/>
        </w:rPr>
        <w:t xml:space="preserve">é </w:t>
      </w:r>
      <w:r>
        <w:rPr>
          <w:szCs w:val="24"/>
        </w:rPr>
        <w:t>a nelze se proti němu odvolat, v právní moci. Rozhodnutí musí být účinn</w:t>
      </w:r>
      <w:r>
        <w:rPr>
          <w:szCs w:val="24"/>
          <w:lang w:val="fr-FR"/>
        </w:rPr>
        <w:t>é</w:t>
      </w:r>
      <w:r>
        <w:rPr>
          <w:szCs w:val="24"/>
        </w:rPr>
        <w:t>, vykonateln</w:t>
      </w:r>
      <w:r>
        <w:rPr>
          <w:szCs w:val="24"/>
          <w:lang w:val="fr-FR"/>
        </w:rPr>
        <w:t>é</w:t>
      </w:r>
      <w:r>
        <w:rPr>
          <w:szCs w:val="24"/>
        </w:rPr>
        <w:t xml:space="preserve">, nelze se proti němu odvolat, případně odvolání nemá odkladný účinek a uplynula lhůta k plnění, v případě, že byla stanovena. Na žádost příjemce rozhodnutí </w:t>
      </w:r>
      <w:r>
        <w:rPr>
          <w:szCs w:val="24"/>
          <w:lang w:val="de-DE"/>
        </w:rPr>
        <w:t>spr</w:t>
      </w:r>
      <w:r>
        <w:rPr>
          <w:szCs w:val="24"/>
        </w:rPr>
        <w:t xml:space="preserve">ávce daně vyznačí na vyhotovení rozhodnutí </w:t>
      </w:r>
      <w:r>
        <w:rPr>
          <w:szCs w:val="24"/>
          <w:lang w:val="it-IT"/>
        </w:rPr>
        <w:t>dolo</w:t>
      </w:r>
      <w:r>
        <w:rPr>
          <w:szCs w:val="24"/>
        </w:rPr>
        <w:t>žku právní moci, popřípadě vykonatelnosti. Exekuční tituly uveden</w:t>
      </w:r>
      <w:r>
        <w:rPr>
          <w:szCs w:val="24"/>
          <w:lang w:val="fr-FR"/>
        </w:rPr>
        <w:t xml:space="preserve">é </w:t>
      </w:r>
      <w:r>
        <w:rPr>
          <w:szCs w:val="24"/>
        </w:rPr>
        <w:t>výše jsou zároveň i tituly pro případ vymáhání prostřednictvím soudního exekutora. Pokud by se jednalo o jiný způsob vymáhání než je exekuce daňová</w:t>
      </w:r>
      <w:r>
        <w:rPr>
          <w:szCs w:val="24"/>
          <w:lang w:val="pt-PT"/>
        </w:rPr>
        <w:t>, exeku</w:t>
      </w:r>
      <w:r>
        <w:rPr>
          <w:szCs w:val="24"/>
        </w:rPr>
        <w:t>ční orgán může zkoumat potvrzení o vykonatelnosti titulu, jež pochází z daňov</w:t>
      </w:r>
      <w:r>
        <w:rPr>
          <w:szCs w:val="24"/>
          <w:lang w:val="fr-FR"/>
        </w:rPr>
        <w:t>é</w:t>
      </w:r>
      <w:r>
        <w:rPr>
          <w:szCs w:val="24"/>
        </w:rPr>
        <w:t>ho řízení. Pokud bude probí</w:t>
      </w:r>
      <w:r>
        <w:rPr>
          <w:szCs w:val="24"/>
          <w:lang w:val="en-US"/>
        </w:rPr>
        <w:t>hat da</w:t>
      </w:r>
      <w:r>
        <w:rPr>
          <w:szCs w:val="24"/>
        </w:rPr>
        <w:t xml:space="preserve">ňová exekuce, tak by na naplnění </w:t>
      </w:r>
      <w:r>
        <w:rPr>
          <w:szCs w:val="24"/>
          <w:lang w:val="it-IT"/>
        </w:rPr>
        <w:t>materi</w:t>
      </w:r>
      <w:r>
        <w:rPr>
          <w:szCs w:val="24"/>
        </w:rPr>
        <w:t>ální</w:t>
      </w:r>
      <w:r>
        <w:rPr>
          <w:szCs w:val="24"/>
          <w:lang w:val="en-US"/>
        </w:rPr>
        <w:t>ch a form</w:t>
      </w:r>
      <w:r>
        <w:rPr>
          <w:szCs w:val="24"/>
        </w:rPr>
        <w:t>álních podmínek vykonatelnosti měl dohlížet i správce daně.</w:t>
      </w:r>
      <w:r>
        <w:rPr>
          <w:rFonts w:eastAsia="Times New Roman" w:cs="Times New Roman"/>
          <w:szCs w:val="24"/>
          <w:vertAlign w:val="superscript"/>
        </w:rPr>
        <w:footnoteReference w:id="39"/>
      </w:r>
    </w:p>
    <w:p w:rsidR="009B70FF" w:rsidRDefault="009B70FF" w:rsidP="009B70FF">
      <w:pPr>
        <w:rPr>
          <w:rFonts w:eastAsia="Times New Roman" w:cs="Times New Roman"/>
          <w:szCs w:val="24"/>
        </w:rPr>
      </w:pPr>
      <w:r>
        <w:rPr>
          <w:rFonts w:eastAsia="Times New Roman" w:cs="Times New Roman"/>
          <w:szCs w:val="24"/>
        </w:rPr>
        <w:tab/>
        <w:t>V</w:t>
      </w:r>
      <w:r>
        <w:rPr>
          <w:szCs w:val="24"/>
        </w:rPr>
        <w:t> exekuci podle daňov</w:t>
      </w:r>
      <w:r>
        <w:rPr>
          <w:szCs w:val="24"/>
          <w:lang w:val="fr-FR"/>
        </w:rPr>
        <w:t>é</w:t>
      </w:r>
      <w:r>
        <w:rPr>
          <w:szCs w:val="24"/>
        </w:rPr>
        <w:t>ho řádu rozeznává</w:t>
      </w:r>
      <w:r>
        <w:rPr>
          <w:szCs w:val="24"/>
          <w:lang w:val="en-US"/>
        </w:rPr>
        <w:t>me t</w:t>
      </w:r>
      <w:r>
        <w:rPr>
          <w:szCs w:val="24"/>
        </w:rPr>
        <w:t>ři exekuční tituly, a to výkaz nedoplatků, vykonatelná rozhodnutí a vykonatelný zajišťovací příkaz, který je relativně nový</w:t>
      </w:r>
      <w:r>
        <w:rPr>
          <w:szCs w:val="24"/>
          <w:lang w:val="sv-SE"/>
        </w:rPr>
        <w:t>ch exeku</w:t>
      </w:r>
      <w:r>
        <w:rPr>
          <w:szCs w:val="24"/>
        </w:rPr>
        <w:t>čním titulem. Zajišťovací příkaz je stavěn do role samostatn</w:t>
      </w:r>
      <w:r>
        <w:rPr>
          <w:szCs w:val="24"/>
          <w:lang w:val="fr-FR"/>
        </w:rPr>
        <w:t>é</w:t>
      </w:r>
      <w:r>
        <w:rPr>
          <w:szCs w:val="24"/>
          <w:lang w:val="pt-PT"/>
        </w:rPr>
        <w:t>ho exeku</w:t>
      </w:r>
      <w:r>
        <w:rPr>
          <w:szCs w:val="24"/>
        </w:rPr>
        <w:t>čního titulu, a to z důvodu širší a komplexnější úpravy zajištění úhrady na nesplatnou nebo dosud nestanovenou daň a jeho specifick</w:t>
      </w:r>
      <w:r>
        <w:rPr>
          <w:szCs w:val="24"/>
          <w:lang w:val="fr-FR"/>
        </w:rPr>
        <w:t>é</w:t>
      </w:r>
      <w:r>
        <w:rPr>
          <w:szCs w:val="24"/>
        </w:rPr>
        <w:t>ho charakteru. Vykonateln</w:t>
      </w:r>
      <w:r>
        <w:rPr>
          <w:szCs w:val="24"/>
          <w:lang w:val="fr-FR"/>
        </w:rPr>
        <w:t xml:space="preserve">é </w:t>
      </w:r>
      <w:r>
        <w:rPr>
          <w:szCs w:val="24"/>
        </w:rPr>
        <w:t>rozhodnutí je další titul, kterým se stanovuje peněžit</w:t>
      </w:r>
      <w:r>
        <w:rPr>
          <w:szCs w:val="24"/>
          <w:lang w:val="fr-FR"/>
        </w:rPr>
        <w:t xml:space="preserve">é </w:t>
      </w:r>
      <w:r>
        <w:rPr>
          <w:szCs w:val="24"/>
        </w:rPr>
        <w:t>plnění</w:t>
      </w:r>
      <w:r>
        <w:rPr>
          <w:szCs w:val="24"/>
          <w:lang w:val="de-DE"/>
        </w:rPr>
        <w:t>. Spr</w:t>
      </w:r>
      <w:r>
        <w:rPr>
          <w:szCs w:val="24"/>
        </w:rPr>
        <w:t>ávce daně vybírá dlužnou částku místo vynucení splnění nepeněžit</w:t>
      </w:r>
      <w:r>
        <w:rPr>
          <w:szCs w:val="24"/>
          <w:lang w:val="fr-FR"/>
        </w:rPr>
        <w:t xml:space="preserve">é </w:t>
      </w:r>
      <w:r>
        <w:rPr>
          <w:szCs w:val="24"/>
        </w:rPr>
        <w:t>povinnosti. Plnění nepeněžit</w:t>
      </w:r>
      <w:r>
        <w:rPr>
          <w:szCs w:val="24"/>
          <w:lang w:val="fr-FR"/>
        </w:rPr>
        <w:t xml:space="preserve">é </w:t>
      </w:r>
      <w:r>
        <w:rPr>
          <w:szCs w:val="24"/>
        </w:rPr>
        <w:t>povahy nelze vymá</w:t>
      </w:r>
      <w:r>
        <w:rPr>
          <w:szCs w:val="24"/>
          <w:lang w:val="en-US"/>
        </w:rPr>
        <w:t>hat da</w:t>
      </w:r>
      <w:r>
        <w:rPr>
          <w:szCs w:val="24"/>
        </w:rPr>
        <w:t>ňovou exekucí. Vymáhání nepeněžit</w:t>
      </w:r>
      <w:r>
        <w:rPr>
          <w:szCs w:val="24"/>
          <w:lang w:val="fr-FR"/>
        </w:rPr>
        <w:t>é</w:t>
      </w:r>
      <w:r>
        <w:rPr>
          <w:szCs w:val="24"/>
        </w:rPr>
        <w:t>ho plnění upravuje SŘ a na případy peněžit</w:t>
      </w:r>
      <w:r>
        <w:rPr>
          <w:szCs w:val="24"/>
          <w:lang w:val="fr-FR"/>
        </w:rPr>
        <w:t>é</w:t>
      </w:r>
      <w:r>
        <w:rPr>
          <w:szCs w:val="24"/>
        </w:rPr>
        <w:t>ho plnění odkazuje na daňový řád. Zákon však k  vynucení nepeněžit</w:t>
      </w:r>
      <w:r>
        <w:rPr>
          <w:szCs w:val="24"/>
          <w:lang w:val="fr-FR"/>
        </w:rPr>
        <w:t>é</w:t>
      </w:r>
      <w:r>
        <w:rPr>
          <w:szCs w:val="24"/>
        </w:rPr>
        <w:t>ho plnění disponuje nástroji, jako jsou pokuty, pomů</w:t>
      </w:r>
      <w:r>
        <w:rPr>
          <w:szCs w:val="24"/>
          <w:lang w:val="fr-FR"/>
        </w:rPr>
        <w:t>cky, neunesen</w:t>
      </w:r>
      <w:r>
        <w:rPr>
          <w:szCs w:val="24"/>
        </w:rPr>
        <w:t>í důkazního břemene č</w:t>
      </w:r>
      <w:r>
        <w:rPr>
          <w:szCs w:val="24"/>
          <w:lang w:val="it-IT"/>
        </w:rPr>
        <w:t>i n</w:t>
      </w:r>
      <w:r>
        <w:rPr>
          <w:szCs w:val="24"/>
        </w:rPr>
        <w:t>ásledný trestněprávní postih. Na druhou stranu rozhodnutí, jímž je stanoveno peněžit</w:t>
      </w:r>
      <w:r>
        <w:rPr>
          <w:szCs w:val="24"/>
          <w:lang w:val="fr-FR"/>
        </w:rPr>
        <w:t xml:space="preserve">é </w:t>
      </w:r>
      <w:r>
        <w:rPr>
          <w:szCs w:val="24"/>
        </w:rPr>
        <w:t>plnění daňovou exekucí vymoci lze. Jedná se o platební výměry, dodatečn</w:t>
      </w:r>
      <w:r>
        <w:rPr>
          <w:szCs w:val="24"/>
          <w:lang w:val="fr-FR"/>
        </w:rPr>
        <w:t xml:space="preserve">é </w:t>
      </w:r>
      <w:r>
        <w:rPr>
          <w:szCs w:val="24"/>
        </w:rPr>
        <w:t>platební výměry, zaprotokolovan</w:t>
      </w:r>
      <w:r>
        <w:rPr>
          <w:szCs w:val="24"/>
          <w:lang w:val="fr-FR"/>
        </w:rPr>
        <w:t xml:space="preserve">é </w:t>
      </w:r>
      <w:r>
        <w:rPr>
          <w:szCs w:val="24"/>
        </w:rPr>
        <w:t>rozhodnutí o sjednání daně či uložení pořádkov</w:t>
      </w:r>
      <w:r>
        <w:rPr>
          <w:szCs w:val="24"/>
          <w:lang w:val="fr-FR"/>
        </w:rPr>
        <w:t xml:space="preserve">é </w:t>
      </w:r>
      <w:r>
        <w:rPr>
          <w:szCs w:val="24"/>
        </w:rPr>
        <w:t>pokuty a tak</w:t>
      </w:r>
      <w:r>
        <w:rPr>
          <w:szCs w:val="24"/>
          <w:lang w:val="fr-FR"/>
        </w:rPr>
        <w:t xml:space="preserve">é </w:t>
      </w:r>
      <w:r>
        <w:rPr>
          <w:szCs w:val="24"/>
        </w:rPr>
        <w:t>rozhodnutí, kter</w:t>
      </w:r>
      <w:r>
        <w:rPr>
          <w:szCs w:val="24"/>
          <w:lang w:val="fr-FR"/>
        </w:rPr>
        <w:t xml:space="preserve">é </w:t>
      </w:r>
      <w:r>
        <w:rPr>
          <w:szCs w:val="24"/>
        </w:rPr>
        <w:t>spadá do oblasti dělen</w:t>
      </w:r>
      <w:r>
        <w:rPr>
          <w:szCs w:val="24"/>
          <w:lang w:val="fr-FR"/>
        </w:rPr>
        <w:t xml:space="preserve">é </w:t>
      </w:r>
      <w:r>
        <w:rPr>
          <w:szCs w:val="24"/>
          <w:lang w:val="de-DE"/>
        </w:rPr>
        <w:t>spr</w:t>
      </w:r>
      <w:r>
        <w:rPr>
          <w:szCs w:val="24"/>
        </w:rPr>
        <w:t>ávy, tzn. pokutový blok.</w:t>
      </w:r>
      <w:r>
        <w:rPr>
          <w:rFonts w:eastAsia="Times New Roman" w:cs="Times New Roman"/>
          <w:szCs w:val="24"/>
          <w:vertAlign w:val="superscript"/>
        </w:rPr>
        <w:footnoteReference w:id="40"/>
      </w:r>
      <w:r>
        <w:rPr>
          <w:szCs w:val="24"/>
        </w:rPr>
        <w:t xml:space="preserve"> </w:t>
      </w:r>
    </w:p>
    <w:p w:rsidR="009B70FF" w:rsidRDefault="009B70FF" w:rsidP="009B70FF">
      <w:pPr>
        <w:rPr>
          <w:rFonts w:eastAsia="Times New Roman" w:cs="Times New Roman"/>
          <w:szCs w:val="24"/>
        </w:rPr>
      </w:pPr>
      <w:r>
        <w:rPr>
          <w:rFonts w:eastAsia="Times New Roman" w:cs="Times New Roman"/>
          <w:szCs w:val="24"/>
        </w:rPr>
        <w:tab/>
        <w:t>V</w:t>
      </w:r>
      <w:r>
        <w:rPr>
          <w:szCs w:val="24"/>
        </w:rPr>
        <w:t xml:space="preserve"> rámci vymáhání nedoplatku vyvstává otázka lhůty, jelikož režim prekluzivní </w:t>
      </w:r>
      <w:r>
        <w:rPr>
          <w:szCs w:val="24"/>
          <w:lang w:val="pt-PT"/>
        </w:rPr>
        <w:t>lh</w:t>
      </w:r>
      <w:r>
        <w:rPr>
          <w:szCs w:val="24"/>
        </w:rPr>
        <w:t>ůty neplatí pro všechna rozhodnutí vykonává</w:t>
      </w:r>
      <w:r>
        <w:rPr>
          <w:szCs w:val="24"/>
          <w:lang w:val="it-IT"/>
        </w:rPr>
        <w:t>na da</w:t>
      </w:r>
      <w:r>
        <w:rPr>
          <w:szCs w:val="24"/>
        </w:rPr>
        <w:t>ňovou exekucí. Nedoplatky může vymá</w:t>
      </w:r>
      <w:r>
        <w:rPr>
          <w:szCs w:val="24"/>
          <w:lang w:val="en-US"/>
        </w:rPr>
        <w:t>hat org</w:t>
      </w:r>
      <w:r>
        <w:rPr>
          <w:szCs w:val="24"/>
        </w:rPr>
        <w:t>á</w:t>
      </w:r>
      <w:r>
        <w:rPr>
          <w:szCs w:val="24"/>
          <w:lang w:val="de-DE"/>
        </w:rPr>
        <w:t>n ve</w:t>
      </w:r>
      <w:r>
        <w:rPr>
          <w:szCs w:val="24"/>
        </w:rPr>
        <w:t>řejn</w:t>
      </w:r>
      <w:r>
        <w:rPr>
          <w:szCs w:val="24"/>
          <w:lang w:val="fr-FR"/>
        </w:rPr>
        <w:t xml:space="preserve">é </w:t>
      </w:r>
      <w:r>
        <w:rPr>
          <w:szCs w:val="24"/>
        </w:rPr>
        <w:t>moci s postavením správce daně nebo tak</w:t>
      </w:r>
      <w:r>
        <w:rPr>
          <w:szCs w:val="24"/>
          <w:lang w:val="fr-FR"/>
        </w:rPr>
        <w:t xml:space="preserve">é </w:t>
      </w:r>
      <w:r>
        <w:rPr>
          <w:szCs w:val="24"/>
        </w:rPr>
        <w:t xml:space="preserve">obecný </w:t>
      </w:r>
      <w:r>
        <w:rPr>
          <w:szCs w:val="24"/>
          <w:lang w:val="de-DE"/>
        </w:rPr>
        <w:t>spr</w:t>
      </w:r>
      <w:r>
        <w:rPr>
          <w:szCs w:val="24"/>
        </w:rPr>
        <w:t>ávce daně, kter</w:t>
      </w:r>
      <w:r>
        <w:rPr>
          <w:szCs w:val="24"/>
          <w:lang w:val="fr-FR"/>
        </w:rPr>
        <w:t>é</w:t>
      </w:r>
      <w:r>
        <w:rPr>
          <w:szCs w:val="24"/>
        </w:rPr>
        <w:t>mu je vymožení nedoplatku předá</w:t>
      </w:r>
      <w:r>
        <w:rPr>
          <w:szCs w:val="24"/>
          <w:lang w:val="it-IT"/>
        </w:rPr>
        <w:t>no pr</w:t>
      </w:r>
      <w:r>
        <w:rPr>
          <w:szCs w:val="24"/>
        </w:rPr>
        <w:t>ávě orgánem veřejn</w:t>
      </w:r>
      <w:r>
        <w:rPr>
          <w:szCs w:val="24"/>
          <w:lang w:val="fr-FR"/>
        </w:rPr>
        <w:t xml:space="preserve">é </w:t>
      </w:r>
      <w:r>
        <w:rPr>
          <w:szCs w:val="24"/>
        </w:rPr>
        <w:t>moci. Správcem daně je v </w:t>
      </w:r>
      <w:r>
        <w:rPr>
          <w:szCs w:val="24"/>
          <w:lang w:val="fr-FR"/>
        </w:rPr>
        <w:t>sou</w:t>
      </w:r>
      <w:r>
        <w:rPr>
          <w:szCs w:val="24"/>
        </w:rPr>
        <w:t>časn</w:t>
      </w:r>
      <w:r>
        <w:rPr>
          <w:szCs w:val="24"/>
          <w:lang w:val="fr-FR"/>
        </w:rPr>
        <w:t xml:space="preserve">é </w:t>
      </w:r>
      <w:r>
        <w:rPr>
          <w:szCs w:val="24"/>
        </w:rPr>
        <w:t xml:space="preserve">době Celní </w:t>
      </w:r>
      <w:r>
        <w:rPr>
          <w:szCs w:val="24"/>
          <w:lang w:val="de-DE"/>
        </w:rPr>
        <w:t>spr</w:t>
      </w:r>
      <w:r>
        <w:rPr>
          <w:szCs w:val="24"/>
        </w:rPr>
        <w:t xml:space="preserve">áva ČR. </w:t>
      </w:r>
      <w:r>
        <w:rPr>
          <w:rFonts w:eastAsia="Times New Roman" w:cs="Times New Roman"/>
          <w:szCs w:val="24"/>
          <w:vertAlign w:val="superscript"/>
        </w:rPr>
        <w:footnoteReference w:id="41"/>
      </w:r>
    </w:p>
    <w:p w:rsidR="009B70FF" w:rsidRDefault="009B70FF" w:rsidP="009B70FF">
      <w:pPr>
        <w:ind w:firstLine="708"/>
        <w:rPr>
          <w:rFonts w:eastAsia="Times New Roman" w:cs="Times New Roman"/>
          <w:szCs w:val="24"/>
        </w:rPr>
      </w:pPr>
      <w:r>
        <w:rPr>
          <w:szCs w:val="24"/>
        </w:rPr>
        <w:t>V rámci exekuce daňov</w:t>
      </w:r>
      <w:r>
        <w:rPr>
          <w:szCs w:val="24"/>
          <w:lang w:val="fr-FR"/>
        </w:rPr>
        <w:t xml:space="preserve">é </w:t>
      </w:r>
      <w:r>
        <w:rPr>
          <w:szCs w:val="24"/>
          <w:lang w:val="pt-PT"/>
        </w:rPr>
        <w:t>je exeku</w:t>
      </w:r>
      <w:r>
        <w:rPr>
          <w:szCs w:val="24"/>
        </w:rPr>
        <w:t>čním titulem i splatná částka zálohy na daň. Nicm</w:t>
      </w:r>
      <w:r>
        <w:rPr>
          <w:szCs w:val="24"/>
          <w:lang w:val="fr-FR"/>
        </w:rPr>
        <w:t>é</w:t>
      </w:r>
      <w:r>
        <w:rPr>
          <w:szCs w:val="24"/>
        </w:rPr>
        <w:t xml:space="preserve">ně tu zákon neuvádí. Tato záloha je součástí pojmu daň a podřazuje se pod pojmem jiný způsob zdanění. Povinnost platit zálohy plyne ze zákona, případně ji stanovuje správce daně. Záloha na daň bude vymáhána na základě </w:t>
      </w:r>
      <w:r>
        <w:rPr>
          <w:szCs w:val="24"/>
          <w:lang w:val="pt-PT"/>
        </w:rPr>
        <w:t>exeku</w:t>
      </w:r>
      <w:r>
        <w:rPr>
          <w:szCs w:val="24"/>
        </w:rPr>
        <w:t>čního titulu, který bude mít formu rozhodnutí a bude jím stanoveno peněžit</w:t>
      </w:r>
      <w:r>
        <w:rPr>
          <w:szCs w:val="24"/>
          <w:lang w:val="fr-FR"/>
        </w:rPr>
        <w:t xml:space="preserve">é </w:t>
      </w:r>
      <w:r>
        <w:rPr>
          <w:szCs w:val="24"/>
        </w:rPr>
        <w:t xml:space="preserve">plnění. </w:t>
      </w:r>
      <w:r>
        <w:rPr>
          <w:rFonts w:eastAsia="Times New Roman" w:cs="Times New Roman"/>
          <w:szCs w:val="24"/>
          <w:vertAlign w:val="superscript"/>
        </w:rPr>
        <w:footnoteReference w:id="42"/>
      </w:r>
    </w:p>
    <w:p w:rsidR="009B70FF" w:rsidRDefault="009B70FF" w:rsidP="009B70FF">
      <w:pPr>
        <w:ind w:firstLine="708"/>
        <w:rPr>
          <w:rFonts w:eastAsia="Times New Roman" w:cs="Times New Roman"/>
          <w:szCs w:val="24"/>
        </w:rPr>
      </w:pPr>
      <w:r>
        <w:rPr>
          <w:szCs w:val="24"/>
        </w:rPr>
        <w:t>Podle Směrnice Rady 2010/24/EU, o vzájemn</w:t>
      </w:r>
      <w:r>
        <w:rPr>
          <w:szCs w:val="24"/>
          <w:lang w:val="fr-FR"/>
        </w:rPr>
        <w:t xml:space="preserve">é </w:t>
      </w:r>
      <w:r>
        <w:rPr>
          <w:szCs w:val="24"/>
        </w:rPr>
        <w:t>pomoci při vymáhání pohledávek vyplývající z daní, cel, poplatků a jiných opatření a prováděcího</w:t>
      </w:r>
      <w:r>
        <w:rPr>
          <w:szCs w:val="24"/>
          <w:lang w:val="de-DE"/>
        </w:rPr>
        <w:t xml:space="preserve"> Na</w:t>
      </w:r>
      <w:r>
        <w:rPr>
          <w:szCs w:val="24"/>
        </w:rPr>
        <w:t>řízení komise č. 1189/2011, kterým se stanovují prováděcí pravidla k některým ustanovení</w:t>
      </w:r>
      <w:r>
        <w:rPr>
          <w:szCs w:val="24"/>
          <w:lang w:val="de-DE"/>
        </w:rPr>
        <w:t>m Sm</w:t>
      </w:r>
      <w:r>
        <w:rPr>
          <w:szCs w:val="24"/>
        </w:rPr>
        <w:t>ěrnice Rady 2010/24/EU, může bý</w:t>
      </w:r>
      <w:r>
        <w:rPr>
          <w:szCs w:val="24"/>
          <w:lang w:val="en-US"/>
        </w:rPr>
        <w:t>t exeku</w:t>
      </w:r>
      <w:r>
        <w:rPr>
          <w:szCs w:val="24"/>
        </w:rPr>
        <w:t>čním titulem i exekuční titul vydaný v jin</w:t>
      </w:r>
      <w:r>
        <w:rPr>
          <w:szCs w:val="24"/>
          <w:lang w:val="fr-FR"/>
        </w:rPr>
        <w:t>é</w:t>
      </w:r>
      <w:r>
        <w:rPr>
          <w:szCs w:val="24"/>
        </w:rPr>
        <w:t>m člensk</w:t>
      </w:r>
      <w:r>
        <w:rPr>
          <w:szCs w:val="24"/>
          <w:lang w:val="fr-FR"/>
        </w:rPr>
        <w:t>é</w:t>
      </w:r>
      <w:r>
        <w:rPr>
          <w:szCs w:val="24"/>
        </w:rPr>
        <w:t>m státě Evropsk</w:t>
      </w:r>
      <w:r>
        <w:rPr>
          <w:szCs w:val="24"/>
          <w:lang w:val="fr-FR"/>
        </w:rPr>
        <w:t xml:space="preserve">é </w:t>
      </w:r>
      <w:r>
        <w:rPr>
          <w:szCs w:val="24"/>
        </w:rPr>
        <w:t xml:space="preserve">unie. Exekučním titulem může být, podle uvedených právních předpisů, jednotný doklad o vymahatelnosti finanční pohledávky. </w:t>
      </w:r>
      <w:r>
        <w:rPr>
          <w:rFonts w:eastAsia="Times New Roman" w:cs="Times New Roman"/>
          <w:szCs w:val="24"/>
          <w:vertAlign w:val="superscript"/>
        </w:rPr>
        <w:footnoteReference w:id="43"/>
      </w:r>
    </w:p>
    <w:p w:rsidR="009B70FF" w:rsidRPr="006965B0" w:rsidRDefault="00017F20" w:rsidP="006965B0">
      <w:pPr>
        <w:pStyle w:val="Nadpis2"/>
        <w:ind w:firstLine="0"/>
        <w:rPr>
          <w:rFonts w:eastAsia="Times New Roman" w:cs="Times New Roman"/>
        </w:rPr>
      </w:pPr>
      <w:bookmarkStart w:id="43" w:name="_Toc14"/>
      <w:bookmarkStart w:id="44" w:name="_Toc18276729"/>
      <w:bookmarkStart w:id="45" w:name="_Toc18313949"/>
      <w:r>
        <w:rPr>
          <w:u w:color="000000"/>
        </w:rPr>
        <w:t>3.2</w:t>
      </w:r>
      <w:r>
        <w:rPr>
          <w:u w:color="000000"/>
        </w:rPr>
        <w:tab/>
      </w:r>
      <w:r w:rsidR="009B70FF" w:rsidRPr="00A916D5">
        <w:rPr>
          <w:u w:color="000000"/>
        </w:rPr>
        <w:t xml:space="preserve">Průběh </w:t>
      </w:r>
      <w:r w:rsidR="009B70FF" w:rsidRPr="00017F20">
        <w:t>exekuce</w:t>
      </w:r>
      <w:r w:rsidR="009B70FF" w:rsidRPr="00A916D5">
        <w:rPr>
          <w:u w:color="000000"/>
        </w:rPr>
        <w:t xml:space="preserve"> správních rozhodnutí</w:t>
      </w:r>
      <w:bookmarkEnd w:id="43"/>
      <w:bookmarkEnd w:id="44"/>
      <w:bookmarkEnd w:id="45"/>
    </w:p>
    <w:p w:rsidR="009B70FF" w:rsidRPr="00053343" w:rsidRDefault="00017F20" w:rsidP="00017F20">
      <w:pPr>
        <w:pStyle w:val="Nadpis3"/>
        <w:ind w:firstLine="0"/>
        <w:rPr>
          <w:rFonts w:eastAsia="Times New Roman" w:cs="Times New Roman"/>
        </w:rPr>
      </w:pPr>
      <w:bookmarkStart w:id="46" w:name="_Toc15"/>
      <w:bookmarkStart w:id="47" w:name="_Toc18276730"/>
      <w:bookmarkStart w:id="48" w:name="_Toc18313950"/>
      <w:r>
        <w:rPr>
          <w:u w:color="000000"/>
        </w:rPr>
        <w:t>3.2.1</w:t>
      </w:r>
      <w:r>
        <w:rPr>
          <w:u w:color="000000"/>
        </w:rPr>
        <w:tab/>
      </w:r>
      <w:r w:rsidR="009B70FF" w:rsidRPr="00053343">
        <w:rPr>
          <w:u w:color="000000"/>
        </w:rPr>
        <w:t xml:space="preserve">Exekuce na </w:t>
      </w:r>
      <w:r w:rsidR="009B70FF" w:rsidRPr="00017F20">
        <w:t>peněžité</w:t>
      </w:r>
      <w:r w:rsidR="009B70FF" w:rsidRPr="00053343">
        <w:rPr>
          <w:u w:color="000000"/>
          <w:lang w:val="fr-FR"/>
        </w:rPr>
        <w:t xml:space="preserve"> </w:t>
      </w:r>
      <w:r w:rsidR="009B70FF" w:rsidRPr="00053343">
        <w:rPr>
          <w:u w:color="000000"/>
        </w:rPr>
        <w:t>plnění</w:t>
      </w:r>
      <w:bookmarkEnd w:id="46"/>
      <w:bookmarkEnd w:id="47"/>
      <w:bookmarkEnd w:id="48"/>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Pokud zákon nestanoví jinak, postupuje se při exekuci na peněžité plnění nebo také daňové exekuci, podle občanského soudního řádu. Výkonem exekuce je pověřen exekuční správní orgán. V případě exekuce na peněžit</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plnění </w:t>
      </w:r>
      <w:r>
        <w:rPr>
          <w:rFonts w:ascii="Times New Roman" w:hAnsi="Times New Roman"/>
          <w:sz w:val="24"/>
          <w:szCs w:val="24"/>
          <w:shd w:val="clear" w:color="auto" w:fill="FFFFFF"/>
          <w:lang w:val="pt-PT"/>
        </w:rPr>
        <w:t>je exeku</w:t>
      </w:r>
      <w:r>
        <w:rPr>
          <w:rFonts w:ascii="Times New Roman" w:hAnsi="Times New Roman"/>
          <w:sz w:val="24"/>
          <w:szCs w:val="24"/>
          <w:shd w:val="clear" w:color="auto" w:fill="FFFFFF"/>
        </w:rPr>
        <w:t>čním správním orgá</w:t>
      </w:r>
      <w:r>
        <w:rPr>
          <w:rFonts w:ascii="Times New Roman" w:hAnsi="Times New Roman"/>
          <w:sz w:val="24"/>
          <w:szCs w:val="24"/>
          <w:shd w:val="clear" w:color="auto" w:fill="FFFFFF"/>
          <w:lang w:val="es-ES_tradnl"/>
        </w:rPr>
        <w:t xml:space="preserve">nem de lege lata: </w:t>
      </w:r>
    </w:p>
    <w:p w:rsidR="009B70FF" w:rsidRDefault="009B70FF" w:rsidP="007A2179">
      <w:pPr>
        <w:pStyle w:val="Odstavecseseznamem"/>
        <w:numPr>
          <w:ilvl w:val="0"/>
          <w:numId w:val="7"/>
        </w:numPr>
        <w:pBdr>
          <w:top w:val="nil"/>
          <w:left w:val="nil"/>
          <w:bottom w:val="nil"/>
          <w:right w:val="nil"/>
          <w:between w:val="nil"/>
          <w:bar w:val="nil"/>
        </w:pBdr>
        <w:spacing w:before="0" w:after="200"/>
        <w:contextualSpacing w:val="0"/>
        <w:rPr>
          <w:szCs w:val="24"/>
        </w:rPr>
      </w:pPr>
      <w:r>
        <w:rPr>
          <w:szCs w:val="24"/>
        </w:rPr>
        <w:t xml:space="preserve">Obecný </w:t>
      </w:r>
      <w:r>
        <w:rPr>
          <w:szCs w:val="24"/>
          <w:lang w:val="de-DE"/>
        </w:rPr>
        <w:t>spr</w:t>
      </w:r>
      <w:r>
        <w:rPr>
          <w:szCs w:val="24"/>
        </w:rPr>
        <w:t>ávce daně, který je místně příslušný podle zvláštního zákona. V případě daňov</w:t>
      </w:r>
      <w:r>
        <w:rPr>
          <w:szCs w:val="24"/>
          <w:lang w:val="fr-FR"/>
        </w:rPr>
        <w:t xml:space="preserve">é </w:t>
      </w:r>
      <w:r>
        <w:rPr>
          <w:szCs w:val="24"/>
        </w:rPr>
        <w:t>exekuce je to většinou celní úřad. Místní příslušnost správce daně se řídí u fyzick</w:t>
      </w:r>
      <w:r>
        <w:rPr>
          <w:szCs w:val="24"/>
          <w:lang w:val="fr-FR"/>
        </w:rPr>
        <w:t xml:space="preserve">é </w:t>
      </w:r>
      <w:r>
        <w:rPr>
          <w:szCs w:val="24"/>
        </w:rPr>
        <w:t>osoby místem jejího pobytu a u právnick</w:t>
      </w:r>
      <w:r>
        <w:rPr>
          <w:szCs w:val="24"/>
          <w:lang w:val="fr-FR"/>
        </w:rPr>
        <w:t xml:space="preserve">é </w:t>
      </w:r>
      <w:r>
        <w:rPr>
          <w:szCs w:val="24"/>
        </w:rPr>
        <w:t>osoby pak jejím sídlem. Tímto výkonem je pověř</w:t>
      </w:r>
      <w:r>
        <w:rPr>
          <w:szCs w:val="24"/>
          <w:lang w:val="nl-NL"/>
        </w:rPr>
        <w:t>en spr</w:t>
      </w:r>
      <w:r>
        <w:rPr>
          <w:szCs w:val="24"/>
        </w:rPr>
        <w:t>ávce daně. Výjimkou může být případ, kdy zákon stanoví, ž</w:t>
      </w:r>
      <w:r>
        <w:rPr>
          <w:szCs w:val="24"/>
          <w:lang w:val="pt-PT"/>
        </w:rPr>
        <w:t>e exeku</w:t>
      </w:r>
      <w:r>
        <w:rPr>
          <w:szCs w:val="24"/>
        </w:rPr>
        <w:t>čním správním orgánem je správní orgán, který sám vydal v prvním stupni nebo schvá</w:t>
      </w:r>
      <w:r>
        <w:rPr>
          <w:szCs w:val="24"/>
          <w:lang w:val="fr-FR"/>
        </w:rPr>
        <w:t>lil exeku</w:t>
      </w:r>
      <w:r>
        <w:rPr>
          <w:szCs w:val="24"/>
        </w:rPr>
        <w:t>ční titul.</w:t>
      </w:r>
    </w:p>
    <w:p w:rsidR="009B70FF" w:rsidRDefault="009B70FF" w:rsidP="007A2179">
      <w:pPr>
        <w:pStyle w:val="Odstavecseseznamem"/>
        <w:numPr>
          <w:ilvl w:val="0"/>
          <w:numId w:val="7"/>
        </w:numPr>
        <w:pBdr>
          <w:top w:val="nil"/>
          <w:left w:val="nil"/>
          <w:bottom w:val="nil"/>
          <w:right w:val="nil"/>
          <w:between w:val="nil"/>
          <w:bar w:val="nil"/>
        </w:pBdr>
        <w:spacing w:before="0" w:after="200"/>
        <w:contextualSpacing w:val="0"/>
        <w:rPr>
          <w:szCs w:val="24"/>
        </w:rPr>
      </w:pPr>
      <w:r>
        <w:rPr>
          <w:szCs w:val="24"/>
        </w:rPr>
        <w:t xml:space="preserve">Obecní nebo krajský úřad, který vydal nebo schválil v prvním stupni exekuční titul a je zároveň </w:t>
      </w:r>
      <w:r>
        <w:rPr>
          <w:szCs w:val="24"/>
          <w:lang w:val="de-DE"/>
        </w:rPr>
        <w:t>spr</w:t>
      </w:r>
      <w:r>
        <w:rPr>
          <w:szCs w:val="24"/>
        </w:rPr>
        <w:t>ávním orgánem. Na žádost obecního úřadu, může být exekuce provedena správcem daně, který je místně příslušný dle DŘ.</w:t>
      </w:r>
      <w:r>
        <w:rPr>
          <w:rStyle w:val="Znakapoznpodarou"/>
          <w:rFonts w:eastAsia="Times New Roman" w:cs="Times New Roman"/>
          <w:szCs w:val="24"/>
        </w:rPr>
        <w:footnoteReference w:id="44"/>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jc w:val="both"/>
        <w:rPr>
          <w:rFonts w:ascii="Times New Roman" w:eastAsia="Times New Roman" w:hAnsi="Times New Roman" w:cs="Times New Roman"/>
          <w:sz w:val="24"/>
          <w:szCs w:val="24"/>
        </w:rPr>
      </w:pPr>
      <w:r>
        <w:rPr>
          <w:rFonts w:ascii="Times New Roman" w:hAnsi="Times New Roman"/>
          <w:sz w:val="24"/>
          <w:szCs w:val="24"/>
        </w:rPr>
        <w:tab/>
        <w:t>Orgán příslušný k výkonu exekuce zahajuje exekuci vydáním exekučního příkazu formou rozhodnutí a jeho náležitosti jsou stanoveny v §102, odst. 1, zákona č. 280/2009 a jsou jimi:</w:t>
      </w:r>
    </w:p>
    <w:p w:rsidR="009B70FF" w:rsidRDefault="00EB4396" w:rsidP="009B70FF">
      <w:pPr>
        <w:pStyle w:val="Odstavecseseznamem"/>
        <w:rPr>
          <w:rFonts w:eastAsia="Times New Roman" w:cs="Times New Roman"/>
          <w:i/>
          <w:iCs/>
          <w:szCs w:val="24"/>
        </w:rPr>
      </w:pPr>
      <w:r>
        <w:rPr>
          <w:i/>
          <w:iCs/>
          <w:szCs w:val="24"/>
        </w:rPr>
        <w:t>„</w:t>
      </w:r>
      <w:r w:rsidR="009B70FF">
        <w:rPr>
          <w:i/>
          <w:iCs/>
          <w:szCs w:val="24"/>
        </w:rPr>
        <w:t xml:space="preserve">a) označení </w:t>
      </w:r>
      <w:r w:rsidR="009B70FF">
        <w:rPr>
          <w:i/>
          <w:iCs/>
          <w:szCs w:val="24"/>
          <w:lang w:val="de-DE"/>
        </w:rPr>
        <w:t>spr</w:t>
      </w:r>
      <w:r w:rsidR="009B70FF">
        <w:rPr>
          <w:i/>
          <w:iCs/>
          <w:szCs w:val="24"/>
        </w:rPr>
        <w:t>ávce daně, jenž toto rozhodnutí vydal,</w:t>
      </w:r>
    </w:p>
    <w:p w:rsidR="009B70FF" w:rsidRDefault="009B70FF" w:rsidP="009B70FF">
      <w:pPr>
        <w:pStyle w:val="Odstavecseseznamem"/>
        <w:rPr>
          <w:rFonts w:eastAsia="Times New Roman" w:cs="Times New Roman"/>
          <w:i/>
          <w:iCs/>
          <w:szCs w:val="24"/>
        </w:rPr>
      </w:pPr>
      <w:r>
        <w:rPr>
          <w:i/>
          <w:iCs/>
          <w:szCs w:val="24"/>
        </w:rPr>
        <w:t>b) číslo jednací, popřípadě číslo platebního výměru,</w:t>
      </w:r>
    </w:p>
    <w:p w:rsidR="009B70FF" w:rsidRDefault="009B70FF" w:rsidP="009B70FF">
      <w:pPr>
        <w:pStyle w:val="Odstavecseseznamem"/>
        <w:rPr>
          <w:rFonts w:eastAsia="Times New Roman" w:cs="Times New Roman"/>
          <w:i/>
          <w:iCs/>
          <w:szCs w:val="24"/>
        </w:rPr>
      </w:pPr>
      <w:r>
        <w:rPr>
          <w:i/>
          <w:iCs/>
          <w:szCs w:val="24"/>
        </w:rPr>
        <w:t>c) označení příjemce tohoto rozhodnutí,</w:t>
      </w:r>
    </w:p>
    <w:p w:rsidR="009B70FF" w:rsidRDefault="009B70FF" w:rsidP="009B70FF">
      <w:pPr>
        <w:pStyle w:val="Odstavecseseznamem"/>
        <w:rPr>
          <w:rFonts w:eastAsia="Times New Roman" w:cs="Times New Roman"/>
          <w:i/>
          <w:iCs/>
          <w:szCs w:val="24"/>
        </w:rPr>
      </w:pPr>
      <w:r>
        <w:rPr>
          <w:i/>
          <w:iCs/>
          <w:szCs w:val="24"/>
        </w:rPr>
        <w:t>d) výrok s právní</w:t>
      </w:r>
      <w:r>
        <w:rPr>
          <w:i/>
          <w:iCs/>
          <w:szCs w:val="24"/>
          <w:lang w:val="pt-PT"/>
        </w:rPr>
        <w:t>m p</w:t>
      </w:r>
      <w:r>
        <w:rPr>
          <w:i/>
          <w:iCs/>
          <w:szCs w:val="24"/>
        </w:rPr>
        <w:t>ředpisem, na základě něhož bylo rozhodováno. (pokud jde o platební povinnost, musí zde být částka a číslo účtu poskytovatele platebních služeb. Na toto číslo účtu má být částka uhrazena),</w:t>
      </w:r>
    </w:p>
    <w:p w:rsidR="009B70FF" w:rsidRDefault="009B70FF" w:rsidP="009B70FF">
      <w:pPr>
        <w:pStyle w:val="Odstavecseseznamem"/>
        <w:rPr>
          <w:rFonts w:eastAsia="Times New Roman" w:cs="Times New Roman"/>
          <w:i/>
          <w:iCs/>
          <w:szCs w:val="24"/>
        </w:rPr>
      </w:pPr>
      <w:r>
        <w:rPr>
          <w:i/>
          <w:iCs/>
          <w:szCs w:val="24"/>
          <w:lang w:val="pt-PT"/>
        </w:rPr>
        <w:t>e) lh</w:t>
      </w:r>
      <w:r>
        <w:rPr>
          <w:i/>
          <w:iCs/>
          <w:szCs w:val="24"/>
        </w:rPr>
        <w:t>ůta k plnění, pokud musí být stanovena,</w:t>
      </w:r>
    </w:p>
    <w:p w:rsidR="009B70FF" w:rsidRDefault="009B70FF" w:rsidP="009B70FF">
      <w:pPr>
        <w:pStyle w:val="Odstavecseseznamem"/>
        <w:rPr>
          <w:rFonts w:eastAsia="Times New Roman" w:cs="Times New Roman"/>
          <w:i/>
          <w:iCs/>
          <w:szCs w:val="24"/>
        </w:rPr>
      </w:pPr>
      <w:r>
        <w:rPr>
          <w:i/>
          <w:iCs/>
          <w:szCs w:val="24"/>
          <w:lang w:val="fr-FR"/>
        </w:rPr>
        <w:t>f) pou</w:t>
      </w:r>
      <w:r>
        <w:rPr>
          <w:i/>
          <w:iCs/>
          <w:szCs w:val="24"/>
        </w:rPr>
        <w:t>čení o tom, zdali se proti rozhodnutí lze odvolat, během jak</w:t>
      </w:r>
      <w:r>
        <w:rPr>
          <w:i/>
          <w:iCs/>
          <w:szCs w:val="24"/>
          <w:lang w:val="fr-FR"/>
        </w:rPr>
        <w:t xml:space="preserve">é </w:t>
      </w:r>
      <w:r>
        <w:rPr>
          <w:i/>
          <w:iCs/>
          <w:szCs w:val="24"/>
          <w:lang w:val="pt-PT"/>
        </w:rPr>
        <w:t>lh</w:t>
      </w:r>
      <w:r>
        <w:rPr>
          <w:i/>
          <w:iCs/>
          <w:szCs w:val="24"/>
        </w:rPr>
        <w:t>ůty je tak možn</w:t>
      </w:r>
      <w:r>
        <w:rPr>
          <w:i/>
          <w:iCs/>
          <w:szCs w:val="24"/>
          <w:lang w:val="fr-FR"/>
        </w:rPr>
        <w:t xml:space="preserve">é </w:t>
      </w:r>
      <w:r>
        <w:rPr>
          <w:i/>
          <w:iCs/>
          <w:szCs w:val="24"/>
        </w:rPr>
        <w:t>učinit, kter</w:t>
      </w:r>
      <w:r>
        <w:rPr>
          <w:i/>
          <w:iCs/>
          <w:szCs w:val="24"/>
          <w:lang w:val="fr-FR"/>
        </w:rPr>
        <w:t>é</w:t>
      </w:r>
      <w:r>
        <w:rPr>
          <w:i/>
          <w:iCs/>
          <w:szCs w:val="24"/>
        </w:rPr>
        <w:t>mu správci daně se odvolání podává, spolu s upozorněním na případn</w:t>
      </w:r>
      <w:r>
        <w:rPr>
          <w:i/>
          <w:iCs/>
          <w:szCs w:val="24"/>
          <w:lang w:val="fr-FR"/>
        </w:rPr>
        <w:t xml:space="preserve">é </w:t>
      </w:r>
      <w:r>
        <w:rPr>
          <w:i/>
          <w:iCs/>
          <w:szCs w:val="24"/>
        </w:rPr>
        <w:t>vyloučení odkladn</w:t>
      </w:r>
      <w:r>
        <w:rPr>
          <w:i/>
          <w:iCs/>
          <w:szCs w:val="24"/>
          <w:lang w:val="fr-FR"/>
        </w:rPr>
        <w:t>é</w:t>
      </w:r>
      <w:r>
        <w:rPr>
          <w:i/>
          <w:iCs/>
          <w:szCs w:val="24"/>
        </w:rPr>
        <w:t>ho účinku,</w:t>
      </w:r>
    </w:p>
    <w:p w:rsidR="009B70FF" w:rsidRDefault="009B70FF" w:rsidP="009B70FF">
      <w:pPr>
        <w:pStyle w:val="Odstavecseseznamem"/>
        <w:rPr>
          <w:rFonts w:eastAsia="Times New Roman" w:cs="Times New Roman"/>
          <w:i/>
          <w:iCs/>
          <w:szCs w:val="24"/>
        </w:rPr>
      </w:pPr>
      <w:r>
        <w:rPr>
          <w:i/>
          <w:iCs/>
          <w:szCs w:val="24"/>
        </w:rPr>
        <w:t>g) podpis úřední osoby (musí být uvedeno jm</w:t>
      </w:r>
      <w:r>
        <w:rPr>
          <w:i/>
          <w:iCs/>
          <w:szCs w:val="24"/>
          <w:lang w:val="fr-FR"/>
        </w:rPr>
        <w:t>é</w:t>
      </w:r>
      <w:r>
        <w:rPr>
          <w:i/>
          <w:iCs/>
          <w:szCs w:val="24"/>
        </w:rPr>
        <w:t xml:space="preserve">no, pracovní zařazení </w:t>
      </w:r>
      <w:r>
        <w:rPr>
          <w:i/>
          <w:iCs/>
          <w:szCs w:val="24"/>
          <w:lang w:val="sv-SE"/>
        </w:rPr>
        <w:t xml:space="preserve">q otisk </w:t>
      </w:r>
      <w:r>
        <w:rPr>
          <w:i/>
          <w:iCs/>
          <w:szCs w:val="24"/>
        </w:rPr>
        <w:t>úředního razítka. Lze nahradit elektronickým podpisem úřední osoby),</w:t>
      </w:r>
    </w:p>
    <w:p w:rsidR="009B70FF" w:rsidRDefault="009B70FF" w:rsidP="009B70FF">
      <w:pPr>
        <w:pStyle w:val="Odstavecseseznamem"/>
        <w:rPr>
          <w:i/>
          <w:iCs/>
        </w:rPr>
      </w:pPr>
      <w:r>
        <w:rPr>
          <w:i/>
          <w:iCs/>
          <w:szCs w:val="24"/>
        </w:rPr>
        <w:t>h) datum, kdy bylo rozhodnutí podepsáno.</w:t>
      </w:r>
      <w:r w:rsidR="00EB4396">
        <w:rPr>
          <w:i/>
          <w:iCs/>
          <w:szCs w:val="24"/>
        </w:rPr>
        <w: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Exekuční příkaz obsahuje kromě náležitostí uvedených výše také způsob provedení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exekuce, výši nedoplatku, pro který je exekuce nařizována, výši exekuční</w:t>
      </w:r>
      <w:r>
        <w:rPr>
          <w:rFonts w:ascii="Times New Roman" w:hAnsi="Times New Roman"/>
          <w:sz w:val="24"/>
          <w:szCs w:val="24"/>
          <w:shd w:val="clear" w:color="auto" w:fill="FFFFFF"/>
          <w:lang w:val="de-DE"/>
        </w:rPr>
        <w:t>ch n</w:t>
      </w:r>
      <w:r>
        <w:rPr>
          <w:rFonts w:ascii="Times New Roman" w:hAnsi="Times New Roman"/>
          <w:sz w:val="24"/>
          <w:szCs w:val="24"/>
          <w:shd w:val="clear" w:color="auto" w:fill="FFFFFF"/>
        </w:rPr>
        <w:t>ákladů podle § 183 odst. 1 a odkaz na exekuční titul. V případě, že se v rámci daňové exekuce vymáhá určitá částka a dochází k prodlení, vzniká u této částky úrok. Správce daně nařídí ve výroku exekučního příkazu i exekuci úroku a uvede rovněž způsob jeho výpočtu. Z úroku z prodlení, který vznikl po nařízení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exekuce, nevznikají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 náklady.</w:t>
      </w:r>
      <w:r w:rsidR="00EB4396">
        <w:rPr>
          <w:rStyle w:val="Znakapoznpodarou"/>
          <w:rFonts w:ascii="Times New Roman" w:hAnsi="Times New Roman"/>
          <w:sz w:val="24"/>
          <w:szCs w:val="24"/>
          <w:shd w:val="clear" w:color="auto" w:fill="FFFFFF"/>
        </w:rPr>
        <w:footnoteReference w:id="45"/>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Po na</w:t>
      </w:r>
      <w:r>
        <w:rPr>
          <w:rFonts w:ascii="Times New Roman" w:hAnsi="Times New Roman"/>
          <w:sz w:val="24"/>
          <w:szCs w:val="24"/>
          <w:shd w:val="clear" w:color="auto" w:fill="FFFFFF"/>
        </w:rPr>
        <w:t>řízení exekuce se dlužníkovi doručí exekuční příkaz. Tento se doručuje i dalším příjemcům rozhodnutí. Nelze proti němu uplatnit žádné opravné prostředky. Exekuce může být provedena pouze způsoby uvedenými v zákoně. Těmito způsoby jsou srážky ze mzdy, přikázání pohledávky z účtu u poskytovatele platebních služ</w:t>
      </w:r>
      <w:r>
        <w:rPr>
          <w:rFonts w:ascii="Times New Roman" w:hAnsi="Times New Roman"/>
          <w:sz w:val="24"/>
          <w:szCs w:val="24"/>
          <w:shd w:val="clear" w:color="auto" w:fill="FFFFFF"/>
          <w:lang w:val="de-DE"/>
        </w:rPr>
        <w:t>eb, p</w:t>
      </w:r>
      <w:r>
        <w:rPr>
          <w:rFonts w:ascii="Times New Roman" w:hAnsi="Times New Roman"/>
          <w:sz w:val="24"/>
          <w:szCs w:val="24"/>
          <w:shd w:val="clear" w:color="auto" w:fill="FFFFFF"/>
        </w:rPr>
        <w:t>řikázání jin</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peněžit</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pohledávky, postižení jiných majetkových práv, prodej movitých věcí či prodej nemovitých věcí.</w:t>
      </w:r>
      <w:r w:rsidR="00EB4396">
        <w:rPr>
          <w:rStyle w:val="Znakapoznpodarou"/>
          <w:rFonts w:ascii="Times New Roman" w:hAnsi="Times New Roman"/>
          <w:sz w:val="24"/>
          <w:szCs w:val="24"/>
          <w:shd w:val="clear" w:color="auto" w:fill="FFFFFF"/>
        </w:rPr>
        <w:footnoteReference w:id="46"/>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D</w:t>
      </w:r>
      <w:r>
        <w:rPr>
          <w:rFonts w:ascii="Times New Roman" w:hAnsi="Times New Roman"/>
          <w:sz w:val="24"/>
          <w:szCs w:val="24"/>
          <w:shd w:val="clear" w:color="auto" w:fill="FFFFFF"/>
        </w:rPr>
        <w:t xml:space="preserve">aňová exekuce může být </w:t>
      </w:r>
      <w:r>
        <w:rPr>
          <w:rFonts w:ascii="Times New Roman" w:hAnsi="Times New Roman"/>
          <w:sz w:val="24"/>
          <w:szCs w:val="24"/>
          <w:shd w:val="clear" w:color="auto" w:fill="FFFFFF"/>
          <w:lang w:val="it-IT"/>
        </w:rPr>
        <w:t>na n</w:t>
      </w:r>
      <w:r>
        <w:rPr>
          <w:rFonts w:ascii="Times New Roman" w:hAnsi="Times New Roman"/>
          <w:sz w:val="24"/>
          <w:szCs w:val="24"/>
          <w:shd w:val="clear" w:color="auto" w:fill="FFFFFF"/>
        </w:rPr>
        <w:t>ávrh dlužníka nebo z moci úřední částečně nebo zcela odložena.</w:t>
      </w:r>
      <w:r>
        <w:rPr>
          <w:rFonts w:ascii="Times New Roman" w:hAnsi="Times New Roman"/>
          <w:sz w:val="24"/>
          <w:szCs w:val="24"/>
          <w:shd w:val="clear" w:color="auto" w:fill="FFFFFF"/>
          <w:lang w:val="de-DE"/>
        </w:rPr>
        <w:t xml:space="preserve"> Spr</w:t>
      </w:r>
      <w:r>
        <w:rPr>
          <w:rFonts w:ascii="Times New Roman" w:hAnsi="Times New Roman"/>
          <w:sz w:val="24"/>
          <w:szCs w:val="24"/>
          <w:shd w:val="clear" w:color="auto" w:fill="FFFFFF"/>
        </w:rPr>
        <w:t>ávce daně takto učiní pokud se šetří skutečnosti, které jsou rozhodné pro zastavení exekuce, vyloučení předmětu exekuce ze soupisu věcí či podmínky pro posečkání úhrady nedoplatku. Právní účinky provedený</w:t>
      </w:r>
      <w:r>
        <w:rPr>
          <w:rFonts w:ascii="Times New Roman" w:hAnsi="Times New Roman"/>
          <w:sz w:val="24"/>
          <w:szCs w:val="24"/>
          <w:shd w:val="clear" w:color="auto" w:fill="FFFFFF"/>
          <w:lang w:val="sv-SE"/>
        </w:rPr>
        <w:t>ch exeku</w:t>
      </w:r>
      <w:r>
        <w:rPr>
          <w:rFonts w:ascii="Times New Roman" w:hAnsi="Times New Roman"/>
          <w:sz w:val="24"/>
          <w:szCs w:val="24"/>
          <w:shd w:val="clear" w:color="auto" w:fill="FFFFFF"/>
        </w:rPr>
        <w:t>ční</w:t>
      </w:r>
      <w:r>
        <w:rPr>
          <w:rFonts w:ascii="Times New Roman" w:hAnsi="Times New Roman"/>
          <w:sz w:val="24"/>
          <w:szCs w:val="24"/>
          <w:shd w:val="clear" w:color="auto" w:fill="FFFFFF"/>
          <w:lang w:val="de-DE"/>
        </w:rPr>
        <w:t xml:space="preserve">ch </w:t>
      </w:r>
      <w:r>
        <w:rPr>
          <w:rFonts w:ascii="Times New Roman" w:hAnsi="Times New Roman"/>
          <w:sz w:val="24"/>
          <w:szCs w:val="24"/>
          <w:shd w:val="clear" w:color="auto" w:fill="FFFFFF"/>
        </w:rPr>
        <w:t xml:space="preserve">úkonů zůstávají zachovány, a to pakliže </w:t>
      </w:r>
      <w:r>
        <w:rPr>
          <w:rFonts w:ascii="Times New Roman" w:hAnsi="Times New Roman"/>
          <w:sz w:val="24"/>
          <w:szCs w:val="24"/>
          <w:shd w:val="clear" w:color="auto" w:fill="FFFFFF"/>
          <w:lang w:val="de-DE"/>
        </w:rPr>
        <w:t>spr</w:t>
      </w:r>
      <w:r>
        <w:rPr>
          <w:rFonts w:ascii="Times New Roman" w:hAnsi="Times New Roman"/>
          <w:sz w:val="24"/>
          <w:szCs w:val="24"/>
          <w:shd w:val="clear" w:color="auto" w:fill="FFFFFF"/>
        </w:rPr>
        <w:t>ávce daně v rozhodnutí o odložení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exekuce nestanoví jinak. V případě, že pominou důvody vedoucí k odkladu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exekuce a nebyla-li zastavena, může </w:t>
      </w:r>
      <w:r>
        <w:rPr>
          <w:rFonts w:ascii="Times New Roman" w:hAnsi="Times New Roman"/>
          <w:sz w:val="24"/>
          <w:szCs w:val="24"/>
          <w:shd w:val="clear" w:color="auto" w:fill="FFFFFF"/>
          <w:lang w:val="de-DE"/>
        </w:rPr>
        <w:t>spr</w:t>
      </w:r>
      <w:r>
        <w:rPr>
          <w:rFonts w:ascii="Times New Roman" w:hAnsi="Times New Roman"/>
          <w:sz w:val="24"/>
          <w:szCs w:val="24"/>
          <w:shd w:val="clear" w:color="auto" w:fill="FFFFFF"/>
        </w:rPr>
        <w:t>ávce daně rozhodnout o pokračování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exekuce. Zároveň ale správce daně může exekuci zcela nebo zčásti zastavit, a to </w:t>
      </w:r>
      <w:r>
        <w:rPr>
          <w:rFonts w:ascii="Times New Roman" w:hAnsi="Times New Roman"/>
          <w:sz w:val="24"/>
          <w:szCs w:val="24"/>
          <w:shd w:val="clear" w:color="auto" w:fill="FFFFFF"/>
          <w:lang w:val="it-IT"/>
        </w:rPr>
        <w:t>na n</w:t>
      </w:r>
      <w:r>
        <w:rPr>
          <w:rFonts w:ascii="Times New Roman" w:hAnsi="Times New Roman"/>
          <w:sz w:val="24"/>
          <w:szCs w:val="24"/>
          <w:shd w:val="clear" w:color="auto" w:fill="FFFFFF"/>
        </w:rPr>
        <w:t xml:space="preserve">ávrh příjemce exekučního příkazu nebo z moci úřední </w:t>
      </w:r>
      <w:r w:rsidR="00EB4396" w:rsidRPr="00C02AF2">
        <w:rPr>
          <w:rFonts w:ascii="Times New Roman" w:hAnsi="Times New Roman" w:cs="Times New Roman"/>
          <w:sz w:val="24"/>
          <w:szCs w:val="24"/>
          <w:shd w:val="clear" w:color="auto" w:fill="FFFFFF"/>
        </w:rPr>
        <w:t>dle § 181 (1) zákona č. 280/ 2009 Sb., daňového řádu pokud</w:t>
      </w:r>
      <w:r>
        <w:rPr>
          <w:rFonts w:ascii="Times New Roman" w:hAnsi="Times New Roman"/>
          <w:sz w:val="24"/>
          <w:szCs w:val="24"/>
          <w:shd w:val="clear" w:color="auto" w:fill="FFFFFF"/>
        </w:rPr>
        <w:t>:</w:t>
      </w:r>
      <w:r w:rsidR="00EB4396">
        <w:rPr>
          <w:rStyle w:val="Znakapoznpodarou"/>
          <w:rFonts w:ascii="Times New Roman" w:hAnsi="Times New Roman"/>
          <w:sz w:val="24"/>
          <w:szCs w:val="24"/>
          <w:shd w:val="clear" w:color="auto" w:fill="FFFFFF"/>
        </w:rPr>
        <w:footnoteReference w:id="47"/>
      </w:r>
    </w:p>
    <w:p w:rsidR="009B70FF" w:rsidRDefault="00EB4396"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w:t>
      </w:r>
      <w:r w:rsidR="009B70FF">
        <w:rPr>
          <w:rFonts w:ascii="Times New Roman" w:hAnsi="Times New Roman"/>
          <w:b/>
          <w:bCs/>
          <w:i/>
          <w:iCs/>
          <w:sz w:val="24"/>
          <w:szCs w:val="24"/>
          <w:shd w:val="clear" w:color="auto" w:fill="FFFFFF"/>
        </w:rPr>
        <w:t>a)</w:t>
      </w:r>
      <w:r w:rsidR="009B70FF">
        <w:rPr>
          <w:rFonts w:ascii="Times New Roman" w:hAnsi="Times New Roman"/>
          <w:i/>
          <w:iCs/>
          <w:sz w:val="24"/>
          <w:szCs w:val="24"/>
          <w:shd w:val="clear" w:color="auto" w:fill="FFFFFF"/>
        </w:rPr>
        <w:t xml:space="preserve"> pro její nařízení nebyly splněny zá</w:t>
      </w:r>
      <w:r w:rsidR="009B70FF">
        <w:rPr>
          <w:rFonts w:ascii="Times New Roman" w:hAnsi="Times New Roman"/>
          <w:i/>
          <w:iCs/>
          <w:sz w:val="24"/>
          <w:szCs w:val="24"/>
          <w:shd w:val="clear" w:color="auto" w:fill="FFFFFF"/>
          <w:lang w:val="de-DE"/>
        </w:rPr>
        <w:t>konn</w:t>
      </w:r>
      <w:r w:rsidR="009B70FF">
        <w:rPr>
          <w:rFonts w:ascii="Times New Roman" w:hAnsi="Times New Roman"/>
          <w:i/>
          <w:iCs/>
          <w:sz w:val="24"/>
          <w:szCs w:val="24"/>
          <w:shd w:val="clear" w:color="auto" w:fill="FFFFFF"/>
          <w:lang w:val="fr-FR"/>
        </w:rPr>
        <w:t xml:space="preserve">é </w:t>
      </w:r>
      <w:r w:rsidR="009B70FF">
        <w:rPr>
          <w:rFonts w:ascii="Times New Roman" w:hAnsi="Times New Roman"/>
          <w:i/>
          <w:iCs/>
          <w:sz w:val="24"/>
          <w:szCs w:val="24"/>
          <w:shd w:val="clear" w:color="auto" w:fill="FFFFFF"/>
        </w:rPr>
        <w:t>podmínky,</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b)</w:t>
      </w:r>
      <w:r>
        <w:rPr>
          <w:rFonts w:ascii="Times New Roman" w:hAnsi="Times New Roman"/>
          <w:i/>
          <w:iCs/>
          <w:sz w:val="24"/>
          <w:szCs w:val="24"/>
          <w:shd w:val="clear" w:color="auto" w:fill="FFFFFF"/>
        </w:rPr>
        <w:t xml:space="preserve"> odpadl důvod, pro který byla daňová exekuce nařízena,</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c)</w:t>
      </w:r>
      <w:r>
        <w:rPr>
          <w:rFonts w:ascii="Times New Roman" w:hAnsi="Times New Roman"/>
          <w:i/>
          <w:iCs/>
          <w:sz w:val="24"/>
          <w:szCs w:val="24"/>
          <w:shd w:val="clear" w:color="auto" w:fill="FFFFFF"/>
        </w:rPr>
        <w:t xml:space="preserve"> povolí </w:t>
      </w:r>
      <w:r>
        <w:rPr>
          <w:rFonts w:ascii="Times New Roman" w:hAnsi="Times New Roman"/>
          <w:i/>
          <w:iCs/>
          <w:sz w:val="24"/>
          <w:szCs w:val="24"/>
          <w:shd w:val="clear" w:color="auto" w:fill="FFFFFF"/>
          <w:lang w:val="fr-FR"/>
        </w:rPr>
        <w:t>pose</w:t>
      </w:r>
      <w:r>
        <w:rPr>
          <w:rFonts w:ascii="Times New Roman" w:hAnsi="Times New Roman"/>
          <w:i/>
          <w:iCs/>
          <w:sz w:val="24"/>
          <w:szCs w:val="24"/>
          <w:shd w:val="clear" w:color="auto" w:fill="FFFFFF"/>
        </w:rPr>
        <w:t>čkání úhrady nedoplatku,</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d)</w:t>
      </w:r>
      <w:r>
        <w:rPr>
          <w:rFonts w:ascii="Times New Roman" w:hAnsi="Times New Roman"/>
          <w:i/>
          <w:iCs/>
          <w:sz w:val="24"/>
          <w:szCs w:val="24"/>
          <w:shd w:val="clear" w:color="auto" w:fill="FFFFFF"/>
        </w:rPr>
        <w:t xml:space="preserve"> bylo pravomocně rozhodnuto, že postihuje majetek, k němuž náleží právo nepř</w:t>
      </w:r>
      <w:r>
        <w:rPr>
          <w:rFonts w:ascii="Times New Roman" w:hAnsi="Times New Roman"/>
          <w:i/>
          <w:iCs/>
          <w:sz w:val="24"/>
          <w:szCs w:val="24"/>
          <w:shd w:val="clear" w:color="auto" w:fill="FFFFFF"/>
          <w:lang w:val="fr-FR"/>
        </w:rPr>
        <w:t>ipou</w:t>
      </w:r>
      <w:r>
        <w:rPr>
          <w:rFonts w:ascii="Times New Roman" w:hAnsi="Times New Roman"/>
          <w:i/>
          <w:iCs/>
          <w:sz w:val="24"/>
          <w:szCs w:val="24"/>
          <w:shd w:val="clear" w:color="auto" w:fill="FFFFFF"/>
        </w:rPr>
        <w:t>štějící exekuci, nebo věci nepodl</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hající exekuci,</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e)</w:t>
      </w:r>
      <w:r>
        <w:rPr>
          <w:rFonts w:ascii="Times New Roman" w:hAnsi="Times New Roman"/>
          <w:i/>
          <w:iCs/>
          <w:sz w:val="24"/>
          <w:szCs w:val="24"/>
          <w:shd w:val="clear" w:color="auto" w:fill="FFFFFF"/>
        </w:rPr>
        <w:t xml:space="preserve"> zaniklo právo vymáhat nedoplatek,</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f)</w:t>
      </w:r>
      <w:r>
        <w:rPr>
          <w:rFonts w:ascii="Times New Roman" w:hAnsi="Times New Roman"/>
          <w:i/>
          <w:iCs/>
          <w:sz w:val="24"/>
          <w:szCs w:val="24"/>
          <w:shd w:val="clear" w:color="auto" w:fill="FFFFFF"/>
        </w:rPr>
        <w:t xml:space="preserve"> předpokládaný výtěžek nepostačí ani ke krytí </w:t>
      </w:r>
      <w:r>
        <w:rPr>
          <w:rFonts w:ascii="Times New Roman" w:hAnsi="Times New Roman"/>
          <w:i/>
          <w:iCs/>
          <w:sz w:val="24"/>
          <w:szCs w:val="24"/>
          <w:shd w:val="clear" w:color="auto" w:fill="FFFFFF"/>
          <w:lang w:val="pt-PT"/>
        </w:rPr>
        <w:t>exeku</w:t>
      </w:r>
      <w:r>
        <w:rPr>
          <w:rFonts w:ascii="Times New Roman" w:hAnsi="Times New Roman"/>
          <w:i/>
          <w:iCs/>
          <w:sz w:val="24"/>
          <w:szCs w:val="24"/>
          <w:shd w:val="clear" w:color="auto" w:fill="FFFFFF"/>
        </w:rPr>
        <w:t>ční</w:t>
      </w:r>
      <w:r>
        <w:rPr>
          <w:rFonts w:ascii="Times New Roman" w:hAnsi="Times New Roman"/>
          <w:i/>
          <w:iCs/>
          <w:sz w:val="24"/>
          <w:szCs w:val="24"/>
          <w:shd w:val="clear" w:color="auto" w:fill="FFFFFF"/>
          <w:lang w:val="de-DE"/>
        </w:rPr>
        <w:t>ch n</w:t>
      </w:r>
      <w:r>
        <w:rPr>
          <w:rFonts w:ascii="Times New Roman" w:hAnsi="Times New Roman"/>
          <w:i/>
          <w:iCs/>
          <w:sz w:val="24"/>
          <w:szCs w:val="24"/>
          <w:shd w:val="clear" w:color="auto" w:fill="FFFFFF"/>
        </w:rPr>
        <w:t>ákladů,</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g)</w:t>
      </w:r>
      <w:r>
        <w:rPr>
          <w:rFonts w:ascii="Times New Roman" w:hAnsi="Times New Roman"/>
          <w:i/>
          <w:iCs/>
          <w:sz w:val="24"/>
          <w:szCs w:val="24"/>
          <w:shd w:val="clear" w:color="auto" w:fill="FFFFFF"/>
        </w:rPr>
        <w:t xml:space="preserve"> by pokračování v daňov</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exekuci bylo spojeno s nepoměrnými obtížemi,</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h)</w:t>
      </w:r>
      <w:r>
        <w:rPr>
          <w:rFonts w:ascii="Times New Roman" w:hAnsi="Times New Roman"/>
          <w:i/>
          <w:iCs/>
          <w:sz w:val="24"/>
          <w:szCs w:val="24"/>
          <w:shd w:val="clear" w:color="auto" w:fill="FFFFFF"/>
        </w:rPr>
        <w:t xml:space="preserve"> bylo nařízeno ví</w:t>
      </w:r>
      <w:r>
        <w:rPr>
          <w:rFonts w:ascii="Times New Roman" w:hAnsi="Times New Roman"/>
          <w:i/>
          <w:iCs/>
          <w:sz w:val="24"/>
          <w:szCs w:val="24"/>
          <w:shd w:val="clear" w:color="auto" w:fill="FFFFFF"/>
          <w:lang w:val="fr-FR"/>
        </w:rPr>
        <w:t>ce da</w:t>
      </w:r>
      <w:r>
        <w:rPr>
          <w:rFonts w:ascii="Times New Roman" w:hAnsi="Times New Roman"/>
          <w:i/>
          <w:iCs/>
          <w:sz w:val="24"/>
          <w:szCs w:val="24"/>
          <w:shd w:val="clear" w:color="auto" w:fill="FFFFFF"/>
        </w:rPr>
        <w:t>ňových exekucí a k úhradě vymáhan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nedoplatku postačí pouze některá z nich, nebo</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i)</w:t>
      </w:r>
      <w:r>
        <w:rPr>
          <w:rFonts w:ascii="Times New Roman" w:hAnsi="Times New Roman"/>
          <w:i/>
          <w:iCs/>
          <w:sz w:val="24"/>
          <w:szCs w:val="24"/>
          <w:shd w:val="clear" w:color="auto" w:fill="FFFFFF"/>
        </w:rPr>
        <w:t xml:space="preserve"> je tu jiný důvod, pro který nelze v daňov</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exekuci pokračovat.</w:t>
      </w:r>
      <w:r w:rsidR="00EB4396">
        <w:rPr>
          <w:rFonts w:ascii="Times New Roman" w:hAnsi="Times New Roman"/>
          <w:i/>
          <w:iCs/>
          <w:sz w:val="24"/>
          <w:szCs w:val="24"/>
          <w:shd w:val="clear" w:color="auto" w:fill="FFFFFF"/>
        </w:rPr>
        <w: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Pokud se exekuce odloží či se bude v odložen</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exekuci pokračovat, nebo se exekuce bude zastavovat, rozhodnutí se doručí vš</w:t>
      </w:r>
      <w:r>
        <w:rPr>
          <w:rFonts w:ascii="Times New Roman" w:hAnsi="Times New Roman"/>
          <w:sz w:val="24"/>
          <w:szCs w:val="24"/>
          <w:shd w:val="clear" w:color="auto" w:fill="FFFFFF"/>
          <w:lang w:val="pt-PT"/>
        </w:rPr>
        <w:t>em p</w:t>
      </w:r>
      <w:r>
        <w:rPr>
          <w:rFonts w:ascii="Times New Roman" w:hAnsi="Times New Roman"/>
          <w:sz w:val="24"/>
          <w:szCs w:val="24"/>
          <w:shd w:val="clear" w:color="auto" w:fill="FFFFFF"/>
        </w:rPr>
        <w:t>říjemců</w:t>
      </w:r>
      <w:r>
        <w:rPr>
          <w:rFonts w:ascii="Times New Roman" w:hAnsi="Times New Roman"/>
          <w:sz w:val="24"/>
          <w:szCs w:val="24"/>
          <w:shd w:val="clear" w:color="auto" w:fill="FFFFFF"/>
          <w:lang w:val="pt-PT"/>
        </w:rPr>
        <w:t>m exeku</w:t>
      </w:r>
      <w:r>
        <w:rPr>
          <w:rFonts w:ascii="Times New Roman" w:hAnsi="Times New Roman"/>
          <w:sz w:val="24"/>
          <w:szCs w:val="24"/>
          <w:shd w:val="clear" w:color="auto" w:fill="FFFFFF"/>
        </w:rPr>
        <w:t>čního příkazu. Jedná-li se o částečn</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zastavení exekuce, rozhodnutí se doručí pouze dlužníkovi a plátci mzdy, poskytovateli platebních služ</w:t>
      </w:r>
      <w:r>
        <w:rPr>
          <w:rFonts w:ascii="Times New Roman" w:hAnsi="Times New Roman"/>
          <w:sz w:val="24"/>
          <w:szCs w:val="24"/>
          <w:shd w:val="clear" w:color="auto" w:fill="FFFFFF"/>
          <w:lang w:val="nl-NL"/>
        </w:rPr>
        <w:t xml:space="preserve">eb </w:t>
      </w:r>
      <w:r>
        <w:rPr>
          <w:rFonts w:ascii="Times New Roman" w:hAnsi="Times New Roman"/>
          <w:sz w:val="24"/>
          <w:szCs w:val="24"/>
          <w:shd w:val="clear" w:color="auto" w:fill="FFFFFF"/>
        </w:rPr>
        <w:t>či jin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mu poddlužníkovi. Jestliže se návrh na odložení nebo zastavení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exekuce zamítne, rozhodnutí se doručí pouze navrhovateli.</w:t>
      </w:r>
      <w:r w:rsidR="00EB4396">
        <w:rPr>
          <w:rStyle w:val="Znakapoznpodarou"/>
          <w:rFonts w:ascii="Times New Roman" w:hAnsi="Times New Roman"/>
          <w:sz w:val="24"/>
          <w:szCs w:val="24"/>
          <w:shd w:val="clear" w:color="auto" w:fill="FFFFFF"/>
        </w:rPr>
        <w:footnoteReference w:id="48"/>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V</w:t>
      </w:r>
      <w:r>
        <w:rPr>
          <w:rFonts w:ascii="Times New Roman" w:hAnsi="Times New Roman"/>
          <w:sz w:val="24"/>
          <w:szCs w:val="24"/>
          <w:shd w:val="clear" w:color="auto" w:fill="FFFFFF"/>
        </w:rPr>
        <w:t xml:space="preserve"> případě že byla daňová exekuce provedena oprávněně, je dlužník povinen uhradit exekuční náklady. Náklady se evidují na dlužníkově daňov</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 účtu a jsou vymáhány zároveň s nedoplatkem. Náklady se sečtou v náhradě nákladů za nařízení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exekuce, v náhradě nákladů za výkon prodeje a v náhradě hotových výdajů vzniklých při provádění daňov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exekuce. Jestliže je při exekuci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čním titulem zajišťovací příkaz, hradí se pouze hotov</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výdaje. Jejich výši stanovuje správce daně samostatným rozhodnutím a dlužník je povinen ji uhradit do 15 dnů ode dne doručení rozhodnutí. Úlohou správce daně je stanovit výši exekučních nákladů. Stanoví se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w:t>
      </w:r>
      <w:r>
        <w:rPr>
          <w:rFonts w:ascii="Times New Roman" w:hAnsi="Times New Roman"/>
          <w:sz w:val="24"/>
          <w:szCs w:val="24"/>
          <w:shd w:val="clear" w:color="auto" w:fill="FFFFFF"/>
          <w:lang w:val="pt-PT"/>
        </w:rPr>
        <w:t>m p</w:t>
      </w:r>
      <w:r>
        <w:rPr>
          <w:rFonts w:ascii="Times New Roman" w:hAnsi="Times New Roman"/>
          <w:sz w:val="24"/>
          <w:szCs w:val="24"/>
          <w:shd w:val="clear" w:color="auto" w:fill="FFFFFF"/>
        </w:rPr>
        <w:t>říkazem nebo samostatným rozhodnutím, proti němuž se lze odvolat do 15 dnů ode dne jeho doručení.</w:t>
      </w:r>
      <w:r w:rsidR="00EB4396">
        <w:rPr>
          <w:rStyle w:val="Znakapoznpodarou"/>
          <w:rFonts w:ascii="Times New Roman" w:hAnsi="Times New Roman"/>
          <w:sz w:val="24"/>
          <w:szCs w:val="24"/>
          <w:shd w:val="clear" w:color="auto" w:fill="FFFFFF"/>
        </w:rPr>
        <w:footnoteReference w:id="49"/>
      </w:r>
    </w:p>
    <w:p w:rsidR="009B70FF" w:rsidRPr="00FA1096" w:rsidRDefault="009B70FF" w:rsidP="009B70FF">
      <w:pPr>
        <w:spacing w:line="240" w:lineRule="auto"/>
        <w:rPr>
          <w:rFonts w:eastAsia="Times New Roman" w:cs="Times New Roman"/>
          <w:szCs w:val="24"/>
          <w:shd w:val="clear" w:color="auto" w:fill="FFFFFF"/>
        </w:rPr>
      </w:pPr>
      <w:r>
        <w:rPr>
          <w:rFonts w:eastAsia="Times New Roman" w:cs="Times New Roman"/>
          <w:szCs w:val="24"/>
          <w:shd w:val="clear" w:color="auto" w:fill="FFFFFF"/>
        </w:rPr>
        <w:br w:type="page"/>
      </w:r>
    </w:p>
    <w:p w:rsidR="009B70FF" w:rsidRPr="00FA1096" w:rsidRDefault="009B70FF" w:rsidP="007A2179">
      <w:pPr>
        <w:pStyle w:val="Nadpis3"/>
        <w:numPr>
          <w:ilvl w:val="2"/>
          <w:numId w:val="34"/>
        </w:numPr>
        <w:pBdr>
          <w:top w:val="nil"/>
          <w:left w:val="nil"/>
          <w:bottom w:val="nil"/>
          <w:right w:val="nil"/>
          <w:between w:val="nil"/>
          <w:bar w:val="nil"/>
        </w:pBdr>
        <w:spacing w:before="200" w:line="276" w:lineRule="auto"/>
        <w:rPr>
          <w:rFonts w:eastAsia="Times New Roman" w:cs="Times New Roman"/>
          <w:color w:val="000000"/>
          <w:szCs w:val="24"/>
        </w:rPr>
      </w:pPr>
      <w:bookmarkStart w:id="49" w:name="_Toc16"/>
      <w:bookmarkStart w:id="50" w:name="_Toc18276731"/>
      <w:bookmarkStart w:id="51" w:name="_Toc18313951"/>
      <w:r w:rsidRPr="00FA1096">
        <w:rPr>
          <w:color w:val="000000"/>
          <w:szCs w:val="24"/>
          <w:u w:color="000000"/>
        </w:rPr>
        <w:t>Exekuce na nepeněžit</w:t>
      </w:r>
      <w:r w:rsidRPr="00FA1096">
        <w:rPr>
          <w:color w:val="000000"/>
          <w:szCs w:val="24"/>
          <w:u w:color="000000"/>
          <w:lang w:val="fr-FR"/>
        </w:rPr>
        <w:t xml:space="preserve">é </w:t>
      </w:r>
      <w:r w:rsidRPr="00FA1096">
        <w:rPr>
          <w:color w:val="000000"/>
          <w:szCs w:val="24"/>
          <w:u w:color="000000"/>
        </w:rPr>
        <w:t>plnění</w:t>
      </w:r>
      <w:bookmarkEnd w:id="49"/>
      <w:bookmarkEnd w:id="50"/>
      <w:bookmarkEnd w:id="51"/>
    </w:p>
    <w:p w:rsidR="009B70FF" w:rsidRDefault="009B70FF" w:rsidP="009B70FF">
      <w:pPr>
        <w:spacing w:after="240"/>
        <w:ind w:firstLine="708"/>
        <w:rPr>
          <w:rFonts w:eastAsia="Times New Roman" w:cs="Times New Roman"/>
          <w:szCs w:val="24"/>
        </w:rPr>
      </w:pPr>
      <w:r>
        <w:rPr>
          <w:szCs w:val="24"/>
        </w:rPr>
        <w:t>Pokud se jedná o exekuci na nepeněžité plnění, kterou provádějí správní orgány, správní řád nevyužívá možnosti odkazu na podpůrné využití OSŘ a užívá svojí vlastní izolovanou úpravu. Dle § 107 SŘ je exekučním správním orgánem:</w:t>
      </w:r>
    </w:p>
    <w:p w:rsidR="009B70FF" w:rsidRDefault="009B70FF" w:rsidP="007A2179">
      <w:pPr>
        <w:pStyle w:val="Odstavecseseznamem"/>
        <w:numPr>
          <w:ilvl w:val="0"/>
          <w:numId w:val="9"/>
        </w:numPr>
        <w:pBdr>
          <w:top w:val="nil"/>
          <w:left w:val="nil"/>
          <w:bottom w:val="nil"/>
          <w:right w:val="nil"/>
          <w:between w:val="nil"/>
          <w:bar w:val="nil"/>
        </w:pBdr>
        <w:spacing w:before="0" w:after="200"/>
        <w:contextualSpacing w:val="0"/>
        <w:rPr>
          <w:szCs w:val="24"/>
          <w:lang w:val="de-DE"/>
        </w:rPr>
      </w:pPr>
      <w:r>
        <w:rPr>
          <w:szCs w:val="24"/>
          <w:lang w:val="de-DE"/>
        </w:rPr>
        <w:t>spr</w:t>
      </w:r>
      <w:r>
        <w:rPr>
          <w:szCs w:val="24"/>
        </w:rPr>
        <w:t>ávní orgán, jenž vydal nebo schválil v prvním stupni exekuční titul, je-li orgánem moci vý</w:t>
      </w:r>
      <w:r>
        <w:rPr>
          <w:szCs w:val="24"/>
          <w:lang w:val="de-DE"/>
        </w:rPr>
        <w:t>konn</w:t>
      </w:r>
      <w:r>
        <w:rPr>
          <w:szCs w:val="24"/>
          <w:lang w:val="fr-FR"/>
        </w:rPr>
        <w:t>é</w:t>
      </w:r>
      <w:r>
        <w:rPr>
          <w:szCs w:val="24"/>
        </w:rPr>
        <w:t>,</w:t>
      </w:r>
    </w:p>
    <w:p w:rsidR="009B70FF" w:rsidRDefault="009B70FF" w:rsidP="007A2179">
      <w:pPr>
        <w:pStyle w:val="Odstavecseseznamem"/>
        <w:numPr>
          <w:ilvl w:val="0"/>
          <w:numId w:val="9"/>
        </w:numPr>
        <w:pBdr>
          <w:top w:val="nil"/>
          <w:left w:val="nil"/>
          <w:bottom w:val="nil"/>
          <w:right w:val="nil"/>
          <w:between w:val="nil"/>
          <w:bar w:val="nil"/>
        </w:pBdr>
        <w:spacing w:before="0" w:after="200"/>
        <w:contextualSpacing w:val="0"/>
        <w:rPr>
          <w:szCs w:val="24"/>
        </w:rPr>
      </w:pPr>
      <w:r>
        <w:rPr>
          <w:szCs w:val="24"/>
        </w:rPr>
        <w:t>obecní nebo krajský úřad, jestliže vydal nebo schválil v prvním stupni exekuční titul nebo pokud tak učinil jiný orgán obce či kraje,</w:t>
      </w:r>
    </w:p>
    <w:p w:rsidR="009B70FF" w:rsidRDefault="009B70FF" w:rsidP="007A2179">
      <w:pPr>
        <w:pStyle w:val="Odstavecseseznamem"/>
        <w:numPr>
          <w:ilvl w:val="0"/>
          <w:numId w:val="9"/>
        </w:numPr>
        <w:pBdr>
          <w:top w:val="nil"/>
          <w:left w:val="nil"/>
          <w:bottom w:val="nil"/>
          <w:right w:val="nil"/>
          <w:between w:val="nil"/>
          <w:bar w:val="nil"/>
        </w:pBdr>
        <w:spacing w:before="0" w:after="200"/>
        <w:contextualSpacing w:val="0"/>
        <w:rPr>
          <w:szCs w:val="24"/>
        </w:rPr>
      </w:pPr>
      <w:r>
        <w:rPr>
          <w:szCs w:val="24"/>
        </w:rPr>
        <w:t>obecní úřad obce s rozšířenou působností, jestliže jej o to požá</w:t>
      </w:r>
      <w:r>
        <w:rPr>
          <w:szCs w:val="24"/>
          <w:lang w:val="it-IT"/>
        </w:rPr>
        <w:t>dal spr</w:t>
      </w:r>
      <w:r>
        <w:rPr>
          <w:szCs w:val="24"/>
        </w:rPr>
        <w:t>ávní orgán, který má sídlo v jeho správním obvodu, jež vydal nebo schválil v prvním stupni exekuční titul</w:t>
      </w:r>
      <w:r w:rsidR="00EB4396">
        <w:rPr>
          <w:rStyle w:val="Znakapoznpodarou"/>
          <w:szCs w:val="24"/>
        </w:rPr>
        <w:footnoteReference w:id="50"/>
      </w:r>
    </w:p>
    <w:p w:rsidR="009B70FF" w:rsidRPr="00FA1096" w:rsidRDefault="009B70FF" w:rsidP="009B70FF">
      <w:pPr>
        <w:pStyle w:val="Odstavecseseznamem"/>
        <w:ind w:left="0"/>
        <w:rPr>
          <w:rFonts w:eastAsia="Times New Roman" w:cs="Times New Roman"/>
          <w:szCs w:val="24"/>
        </w:rPr>
      </w:pPr>
      <w:r>
        <w:rPr>
          <w:szCs w:val="24"/>
        </w:rPr>
        <w:t xml:space="preserve">Účastníky exekučního řízení jsou podle </w:t>
      </w:r>
      <w:r w:rsidR="00EB4396" w:rsidRPr="00C02AF2">
        <w:rPr>
          <w:rFonts w:cs="Times New Roman"/>
          <w:szCs w:val="24"/>
        </w:rPr>
        <w:t>§ 27 odst. 1 zákona č. 500/2004 Sb., správního řádu</w:t>
      </w:r>
      <w:r>
        <w:rPr>
          <w:szCs w:val="24"/>
        </w:rPr>
        <w:t>:</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rPr>
      </w:pPr>
      <w:r>
        <w:rPr>
          <w:rFonts w:ascii="Times New Roman" w:hAnsi="Times New Roman"/>
          <w:b/>
          <w:bCs/>
          <w:i/>
          <w:iCs/>
          <w:sz w:val="24"/>
          <w:szCs w:val="24"/>
        </w:rPr>
        <w:t>a)</w:t>
      </w:r>
      <w:r>
        <w:rPr>
          <w:rFonts w:ascii="Times New Roman" w:hAnsi="Times New Roman"/>
          <w:i/>
          <w:iCs/>
          <w:sz w:val="24"/>
          <w:szCs w:val="24"/>
        </w:rPr>
        <w:t xml:space="preserve"> v řízení </w:t>
      </w:r>
      <w:r>
        <w:rPr>
          <w:rFonts w:ascii="Times New Roman" w:hAnsi="Times New Roman"/>
          <w:i/>
          <w:iCs/>
          <w:sz w:val="24"/>
          <w:szCs w:val="24"/>
          <w:lang w:val="en-US"/>
        </w:rPr>
        <w:t xml:space="preserve">o </w:t>
      </w:r>
      <w:r>
        <w:rPr>
          <w:rFonts w:ascii="Times New Roman" w:hAnsi="Times New Roman"/>
          <w:i/>
          <w:iCs/>
          <w:sz w:val="24"/>
          <w:szCs w:val="24"/>
        </w:rPr>
        <w:t xml:space="preserve">žádosti žadatel a další </w:t>
      </w:r>
      <w:r>
        <w:rPr>
          <w:rFonts w:ascii="Times New Roman" w:hAnsi="Times New Roman"/>
          <w:i/>
          <w:iCs/>
          <w:sz w:val="24"/>
          <w:szCs w:val="24"/>
          <w:lang w:val="it-IT"/>
        </w:rPr>
        <w:t>dot</w:t>
      </w:r>
      <w:r>
        <w:rPr>
          <w:rFonts w:ascii="Times New Roman" w:hAnsi="Times New Roman"/>
          <w:i/>
          <w:iCs/>
          <w:sz w:val="24"/>
          <w:szCs w:val="24"/>
        </w:rPr>
        <w:t>čen</w:t>
      </w:r>
      <w:r>
        <w:rPr>
          <w:rFonts w:ascii="Times New Roman" w:hAnsi="Times New Roman"/>
          <w:i/>
          <w:iCs/>
          <w:sz w:val="24"/>
          <w:szCs w:val="24"/>
          <w:lang w:val="fr-FR"/>
        </w:rPr>
        <w:t xml:space="preserve">é </w:t>
      </w:r>
      <w:r>
        <w:rPr>
          <w:rFonts w:ascii="Times New Roman" w:hAnsi="Times New Roman"/>
          <w:i/>
          <w:iCs/>
          <w:sz w:val="24"/>
          <w:szCs w:val="24"/>
        </w:rPr>
        <w:t>osoby, na kter</w:t>
      </w:r>
      <w:r>
        <w:rPr>
          <w:rFonts w:ascii="Times New Roman" w:hAnsi="Times New Roman"/>
          <w:i/>
          <w:iCs/>
          <w:sz w:val="24"/>
          <w:szCs w:val="24"/>
          <w:lang w:val="fr-FR"/>
        </w:rPr>
        <w:t xml:space="preserve">é </w:t>
      </w:r>
      <w:r>
        <w:rPr>
          <w:rFonts w:ascii="Times New Roman" w:hAnsi="Times New Roman"/>
          <w:i/>
          <w:iCs/>
          <w:sz w:val="24"/>
          <w:szCs w:val="24"/>
        </w:rPr>
        <w:t xml:space="preserve">se pro společenství práv nebo povinností s žadatelem musí vztahovat rozhodnutí </w:t>
      </w:r>
      <w:r>
        <w:rPr>
          <w:rFonts w:ascii="Times New Roman" w:hAnsi="Times New Roman"/>
          <w:i/>
          <w:iCs/>
          <w:sz w:val="24"/>
          <w:szCs w:val="24"/>
          <w:lang w:val="de-DE"/>
        </w:rPr>
        <w:t>spr</w:t>
      </w:r>
      <w:r>
        <w:rPr>
          <w:rFonts w:ascii="Times New Roman" w:hAnsi="Times New Roman"/>
          <w:i/>
          <w:iCs/>
          <w:sz w:val="24"/>
          <w:szCs w:val="24"/>
        </w:rPr>
        <w:t>ávního orgánu;</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rPr>
      </w:pPr>
      <w:r>
        <w:rPr>
          <w:rFonts w:ascii="Times New Roman" w:hAnsi="Times New Roman"/>
          <w:b/>
          <w:bCs/>
          <w:i/>
          <w:iCs/>
          <w:sz w:val="24"/>
          <w:szCs w:val="24"/>
        </w:rPr>
        <w:t>b)</w:t>
      </w:r>
      <w:r>
        <w:rPr>
          <w:rFonts w:ascii="Times New Roman" w:hAnsi="Times New Roman"/>
          <w:i/>
          <w:iCs/>
          <w:sz w:val="24"/>
          <w:szCs w:val="24"/>
        </w:rPr>
        <w:t xml:space="preserve"> v řízení z moci úřední </w:t>
      </w:r>
      <w:r>
        <w:rPr>
          <w:rFonts w:ascii="Times New Roman" w:hAnsi="Times New Roman"/>
          <w:i/>
          <w:iCs/>
          <w:sz w:val="24"/>
          <w:szCs w:val="24"/>
          <w:lang w:val="it-IT"/>
        </w:rPr>
        <w:t>dot</w:t>
      </w:r>
      <w:r>
        <w:rPr>
          <w:rFonts w:ascii="Times New Roman" w:hAnsi="Times New Roman"/>
          <w:i/>
          <w:iCs/>
          <w:sz w:val="24"/>
          <w:szCs w:val="24"/>
        </w:rPr>
        <w:t>čen</w:t>
      </w:r>
      <w:r>
        <w:rPr>
          <w:rFonts w:ascii="Times New Roman" w:hAnsi="Times New Roman"/>
          <w:i/>
          <w:iCs/>
          <w:sz w:val="24"/>
          <w:szCs w:val="24"/>
          <w:lang w:val="fr-FR"/>
        </w:rPr>
        <w:t xml:space="preserve">é </w:t>
      </w:r>
      <w:r>
        <w:rPr>
          <w:rFonts w:ascii="Times New Roman" w:hAnsi="Times New Roman"/>
          <w:i/>
          <w:iCs/>
          <w:sz w:val="24"/>
          <w:szCs w:val="24"/>
        </w:rPr>
        <w:t>osoby, jimž má rozhodnutí založit, změnit nebo zruš</w:t>
      </w:r>
      <w:r>
        <w:rPr>
          <w:rFonts w:ascii="Times New Roman" w:hAnsi="Times New Roman"/>
          <w:i/>
          <w:iCs/>
          <w:sz w:val="24"/>
          <w:szCs w:val="24"/>
          <w:lang w:val="fr-FR"/>
        </w:rPr>
        <w:t>it pr</w:t>
      </w:r>
      <w:r>
        <w:rPr>
          <w:rFonts w:ascii="Times New Roman" w:hAnsi="Times New Roman"/>
          <w:i/>
          <w:iCs/>
          <w:sz w:val="24"/>
          <w:szCs w:val="24"/>
        </w:rPr>
        <w:t>ávo anebo povinnost nebo prohlásit, že právo nebo povinnost mají anebo nemají.</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rPr>
      </w:pPr>
      <w:r>
        <w:rPr>
          <w:rFonts w:ascii="Times New Roman" w:hAnsi="Times New Roman"/>
          <w:b/>
          <w:bCs/>
          <w:i/>
          <w:iCs/>
          <w:sz w:val="24"/>
          <w:szCs w:val="24"/>
        </w:rPr>
        <w:t>(2)</w:t>
      </w:r>
      <w:r>
        <w:rPr>
          <w:rFonts w:ascii="Times New Roman" w:hAnsi="Times New Roman"/>
          <w:i/>
          <w:iCs/>
          <w:sz w:val="24"/>
          <w:szCs w:val="24"/>
        </w:rPr>
        <w:t xml:space="preserve"> Účastníky jsou též </w:t>
      </w:r>
      <w:r>
        <w:rPr>
          <w:rFonts w:ascii="Times New Roman" w:hAnsi="Times New Roman"/>
          <w:i/>
          <w:iCs/>
          <w:sz w:val="24"/>
          <w:szCs w:val="24"/>
          <w:lang w:val="it-IT"/>
        </w:rPr>
        <w:t>dal</w:t>
      </w:r>
      <w:r>
        <w:rPr>
          <w:rFonts w:ascii="Times New Roman" w:hAnsi="Times New Roman"/>
          <w:i/>
          <w:iCs/>
          <w:sz w:val="24"/>
          <w:szCs w:val="24"/>
        </w:rPr>
        <w:t xml:space="preserve">ší </w:t>
      </w:r>
      <w:r>
        <w:rPr>
          <w:rFonts w:ascii="Times New Roman" w:hAnsi="Times New Roman"/>
          <w:i/>
          <w:iCs/>
          <w:sz w:val="24"/>
          <w:szCs w:val="24"/>
          <w:lang w:val="it-IT"/>
        </w:rPr>
        <w:t>dot</w:t>
      </w:r>
      <w:r>
        <w:rPr>
          <w:rFonts w:ascii="Times New Roman" w:hAnsi="Times New Roman"/>
          <w:i/>
          <w:iCs/>
          <w:sz w:val="24"/>
          <w:szCs w:val="24"/>
        </w:rPr>
        <w:t>čen</w:t>
      </w:r>
      <w:r>
        <w:rPr>
          <w:rFonts w:ascii="Times New Roman" w:hAnsi="Times New Roman"/>
          <w:i/>
          <w:iCs/>
          <w:sz w:val="24"/>
          <w:szCs w:val="24"/>
          <w:lang w:val="fr-FR"/>
        </w:rPr>
        <w:t xml:space="preserve">é </w:t>
      </w:r>
      <w:r>
        <w:rPr>
          <w:rFonts w:ascii="Times New Roman" w:hAnsi="Times New Roman"/>
          <w:i/>
          <w:iCs/>
          <w:sz w:val="24"/>
          <w:szCs w:val="24"/>
        </w:rPr>
        <w:t>osoby, pokud mohou být rozhodnutí</w:t>
      </w:r>
      <w:r>
        <w:rPr>
          <w:rFonts w:ascii="Times New Roman" w:hAnsi="Times New Roman"/>
          <w:i/>
          <w:iCs/>
          <w:sz w:val="24"/>
          <w:szCs w:val="24"/>
          <w:lang w:val="pt-PT"/>
        </w:rPr>
        <w:t>m p</w:t>
      </w:r>
      <w:r>
        <w:rPr>
          <w:rFonts w:ascii="Times New Roman" w:hAnsi="Times New Roman"/>
          <w:i/>
          <w:iCs/>
          <w:sz w:val="24"/>
          <w:szCs w:val="24"/>
        </w:rPr>
        <w:t>ří</w:t>
      </w:r>
      <w:r>
        <w:rPr>
          <w:rFonts w:ascii="Times New Roman" w:hAnsi="Times New Roman"/>
          <w:i/>
          <w:iCs/>
          <w:sz w:val="24"/>
          <w:szCs w:val="24"/>
          <w:lang w:val="it-IT"/>
        </w:rPr>
        <w:t>mo dot</w:t>
      </w:r>
      <w:r>
        <w:rPr>
          <w:rFonts w:ascii="Times New Roman" w:hAnsi="Times New Roman"/>
          <w:i/>
          <w:iCs/>
          <w:sz w:val="24"/>
          <w:szCs w:val="24"/>
        </w:rPr>
        <w:t>čeny ve svých právech nebo povinnostech.</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rPr>
      </w:pPr>
      <w:r>
        <w:rPr>
          <w:rFonts w:ascii="Times New Roman" w:hAnsi="Times New Roman"/>
          <w:b/>
          <w:bCs/>
          <w:i/>
          <w:iCs/>
          <w:sz w:val="24"/>
          <w:szCs w:val="24"/>
        </w:rPr>
        <w:t>(3)</w:t>
      </w:r>
      <w:r>
        <w:rPr>
          <w:rFonts w:ascii="Times New Roman" w:hAnsi="Times New Roman"/>
          <w:i/>
          <w:iCs/>
          <w:sz w:val="24"/>
          <w:szCs w:val="24"/>
        </w:rPr>
        <w:t xml:space="preserve"> Účastníky jsou rovněž osoby, o kterých to stanoví zvláštní zákon. Nestanoví-li zvláštní zákon jinak, mají postavení účastníků podle odstavce 2, ledaže jim má rozhodnutí založit, změnit nebo zruš</w:t>
      </w:r>
      <w:r>
        <w:rPr>
          <w:rFonts w:ascii="Times New Roman" w:hAnsi="Times New Roman"/>
          <w:i/>
          <w:iCs/>
          <w:sz w:val="24"/>
          <w:szCs w:val="24"/>
          <w:lang w:val="fr-FR"/>
        </w:rPr>
        <w:t>it pr</w:t>
      </w:r>
      <w:r>
        <w:rPr>
          <w:rFonts w:ascii="Times New Roman" w:hAnsi="Times New Roman"/>
          <w:i/>
          <w:iCs/>
          <w:sz w:val="24"/>
          <w:szCs w:val="24"/>
        </w:rPr>
        <w:t>ávo anebo povinnost nebo prohlásit, že právo nebo povinnost mají anebo nemají; v tom případě mají postavení účastníků podle odstavce 1.</w:t>
      </w:r>
    </w:p>
    <w:p w:rsidR="009B70FF" w:rsidRDefault="009B70FF" w:rsidP="009B70FF">
      <w:pPr>
        <w:pStyle w:val="Odstavecseseznamem"/>
        <w:ind w:left="0" w:firstLine="708"/>
        <w:rPr>
          <w:rFonts w:eastAsia="Times New Roman" w:cs="Times New Roman"/>
          <w:szCs w:val="24"/>
        </w:rPr>
      </w:pPr>
      <w:r>
        <w:rPr>
          <w:szCs w:val="24"/>
        </w:rPr>
        <w:t>Exekuci na nepeněžité plnění je možné nařídit nejpozději do 5 let od marného uplynutí lhůty ke splnění a lze ji ukončit nejpozději do 10 let od tohoto uplynutí.</w:t>
      </w:r>
      <w:r w:rsidR="00EB4396">
        <w:rPr>
          <w:rStyle w:val="Znakapoznpodarou"/>
          <w:szCs w:val="24"/>
        </w:rPr>
        <w:footnoteReference w:id="51"/>
      </w:r>
      <w:r>
        <w:rPr>
          <w:szCs w:val="24"/>
        </w:rPr>
        <w:t xml:space="preserve"> Exekuce se nařizuje </w:t>
      </w:r>
      <w:r w:rsidR="00EB4396" w:rsidRPr="00C02AF2">
        <w:rPr>
          <w:rFonts w:cs="Times New Roman"/>
          <w:szCs w:val="24"/>
        </w:rPr>
        <w:t>dle §110 zákona č. 500/2004 Sb., správního řádu</w:t>
      </w:r>
      <w:r>
        <w:rPr>
          <w:szCs w:val="24"/>
        </w:rPr>
        <w:t>:</w:t>
      </w:r>
    </w:p>
    <w:p w:rsidR="009B70FF" w:rsidRPr="00EB4396" w:rsidRDefault="00EB4396"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w:t>
      </w:r>
      <w:r w:rsidR="009B70FF">
        <w:rPr>
          <w:rFonts w:ascii="Times New Roman" w:hAnsi="Times New Roman"/>
          <w:b/>
          <w:bCs/>
          <w:i/>
          <w:iCs/>
          <w:sz w:val="24"/>
          <w:szCs w:val="24"/>
          <w:shd w:val="clear" w:color="auto" w:fill="FFFFFF"/>
        </w:rPr>
        <w:t>a)</w:t>
      </w:r>
      <w:r w:rsidR="009B70FF">
        <w:rPr>
          <w:rFonts w:ascii="Times New Roman" w:hAnsi="Times New Roman"/>
          <w:i/>
          <w:iCs/>
          <w:sz w:val="24"/>
          <w:szCs w:val="24"/>
          <w:shd w:val="clear" w:color="auto" w:fill="FFFFFF"/>
        </w:rPr>
        <w:t xml:space="preserve"> z moci úřední, jestliže je příslušný</w:t>
      </w:r>
      <w:r w:rsidR="009B70FF">
        <w:rPr>
          <w:rFonts w:ascii="Times New Roman" w:hAnsi="Times New Roman"/>
          <w:i/>
          <w:iCs/>
          <w:sz w:val="24"/>
          <w:szCs w:val="24"/>
          <w:shd w:val="clear" w:color="auto" w:fill="FFFFFF"/>
          <w:lang w:val="pt-PT"/>
        </w:rPr>
        <w:t>m exeku</w:t>
      </w:r>
      <w:r w:rsidR="009B70FF">
        <w:rPr>
          <w:rFonts w:ascii="Times New Roman" w:hAnsi="Times New Roman"/>
          <w:i/>
          <w:iCs/>
          <w:sz w:val="24"/>
          <w:szCs w:val="24"/>
          <w:shd w:val="clear" w:color="auto" w:fill="FFFFFF"/>
        </w:rPr>
        <w:t xml:space="preserve">čním správním orgánem; přitom neplatí </w:t>
      </w:r>
      <w:r w:rsidR="009B70FF">
        <w:rPr>
          <w:rFonts w:ascii="Times New Roman" w:hAnsi="Times New Roman"/>
          <w:i/>
          <w:iCs/>
          <w:sz w:val="24"/>
          <w:szCs w:val="24"/>
          <w:shd w:val="clear" w:color="auto" w:fill="FFFFFF"/>
          <w:lang w:val="pt-PT"/>
        </w:rPr>
        <w:t>lh</w:t>
      </w:r>
      <w:r w:rsidR="009B70FF">
        <w:rPr>
          <w:rFonts w:ascii="Times New Roman" w:hAnsi="Times New Roman"/>
          <w:i/>
          <w:iCs/>
          <w:sz w:val="24"/>
          <w:szCs w:val="24"/>
          <w:shd w:val="clear" w:color="auto" w:fill="FFFFFF"/>
        </w:rPr>
        <w:t>ůta uvedená v § 80 odst. 2,</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b)</w:t>
      </w:r>
      <w:r>
        <w:rPr>
          <w:rFonts w:ascii="Times New Roman" w:hAnsi="Times New Roman"/>
          <w:i/>
          <w:iCs/>
          <w:sz w:val="24"/>
          <w:szCs w:val="24"/>
          <w:shd w:val="clear" w:color="auto" w:fill="FFFFFF"/>
        </w:rPr>
        <w:t xml:space="preserve"> na žádost osoby oprávněn</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lang w:val="pt-PT"/>
        </w:rPr>
        <w:t>z exeku</w:t>
      </w:r>
      <w:r>
        <w:rPr>
          <w:rFonts w:ascii="Times New Roman" w:hAnsi="Times New Roman"/>
          <w:i/>
          <w:iCs/>
          <w:sz w:val="24"/>
          <w:szCs w:val="24"/>
          <w:shd w:val="clear" w:color="auto" w:fill="FFFFFF"/>
        </w:rPr>
        <w:t>čního titulu, nebo</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c)</w:t>
      </w:r>
      <w:r>
        <w:rPr>
          <w:rFonts w:ascii="Times New Roman" w:hAnsi="Times New Roman"/>
          <w:i/>
          <w:iCs/>
          <w:sz w:val="24"/>
          <w:szCs w:val="24"/>
          <w:shd w:val="clear" w:color="auto" w:fill="FFFFFF"/>
        </w:rPr>
        <w:t xml:space="preserve"> na žádost správního orgánu podle § 107 odst. 2.</w:t>
      </w:r>
      <w:r w:rsidR="00EB4396">
        <w:rPr>
          <w:rFonts w:ascii="Times New Roman" w:hAnsi="Times New Roman"/>
          <w:i/>
          <w:iCs/>
          <w:sz w:val="24"/>
          <w:szCs w:val="24"/>
          <w:shd w:val="clear" w:color="auto" w:fill="FFFFFF"/>
        </w:rPr>
        <w: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Jestliže jsou splněny všechny podmínky návrhu i řízení vydá se exekuční příkaz, který dle </w:t>
      </w:r>
      <w:r w:rsidR="00EB4396" w:rsidRPr="00C02AF2">
        <w:rPr>
          <w:rFonts w:ascii="Times New Roman" w:hAnsi="Times New Roman" w:cs="Times New Roman"/>
          <w:sz w:val="24"/>
          <w:szCs w:val="24"/>
          <w:shd w:val="clear" w:color="auto" w:fill="FFFFFF"/>
        </w:rPr>
        <w:t>§ 111 zákona č. 500/2004 Sb., správního řádu musí obsahovat</w:t>
      </w:r>
      <w:r>
        <w:rPr>
          <w:rFonts w:ascii="Times New Roman" w:hAnsi="Times New Roman"/>
          <w:sz w:val="24"/>
          <w:szCs w:val="24"/>
          <w:shd w:val="clear" w:color="auto" w:fill="FFFFFF"/>
        </w:rPr>
        <w:t>:</w:t>
      </w:r>
    </w:p>
    <w:p w:rsidR="009B70FF" w:rsidRPr="00FA1096" w:rsidRDefault="00EB4396"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w:t>
      </w:r>
      <w:r w:rsidR="009B70FF">
        <w:rPr>
          <w:rFonts w:ascii="Times New Roman" w:hAnsi="Times New Roman"/>
          <w:b/>
          <w:bCs/>
          <w:i/>
          <w:iCs/>
          <w:sz w:val="24"/>
          <w:szCs w:val="24"/>
          <w:shd w:val="clear" w:color="auto" w:fill="FFFFFF"/>
        </w:rPr>
        <w:t>a)</w:t>
      </w:r>
      <w:r w:rsidR="009B70FF">
        <w:rPr>
          <w:rFonts w:ascii="Times New Roman" w:hAnsi="Times New Roman"/>
          <w:i/>
          <w:iCs/>
          <w:sz w:val="24"/>
          <w:szCs w:val="24"/>
          <w:shd w:val="clear" w:color="auto" w:fill="FFFFFF"/>
        </w:rPr>
        <w:t xml:space="preserve"> označení </w:t>
      </w:r>
      <w:r w:rsidR="009B70FF">
        <w:rPr>
          <w:rFonts w:ascii="Times New Roman" w:hAnsi="Times New Roman"/>
          <w:i/>
          <w:iCs/>
          <w:sz w:val="24"/>
          <w:szCs w:val="24"/>
          <w:shd w:val="clear" w:color="auto" w:fill="FFFFFF"/>
          <w:lang w:val="pt-PT"/>
        </w:rPr>
        <w:t>exeku</w:t>
      </w:r>
      <w:r w:rsidR="009B70FF">
        <w:rPr>
          <w:rFonts w:ascii="Times New Roman" w:hAnsi="Times New Roman"/>
          <w:i/>
          <w:iCs/>
          <w:sz w:val="24"/>
          <w:szCs w:val="24"/>
          <w:shd w:val="clear" w:color="auto" w:fill="FFFFFF"/>
        </w:rPr>
        <w:t>čního titulu, na jehož základě se vydává,</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b)</w:t>
      </w:r>
      <w:r>
        <w:rPr>
          <w:rFonts w:ascii="Times New Roman" w:hAnsi="Times New Roman"/>
          <w:i/>
          <w:iCs/>
          <w:sz w:val="24"/>
          <w:szCs w:val="24"/>
          <w:shd w:val="clear" w:color="auto" w:fill="FFFFFF"/>
        </w:rPr>
        <w:t xml:space="preserve"> vymezení nepeněžit</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povinnosti, která má být splněna,</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c)</w:t>
      </w:r>
      <w:r>
        <w:rPr>
          <w:rFonts w:ascii="Times New Roman" w:hAnsi="Times New Roman"/>
          <w:i/>
          <w:iCs/>
          <w:sz w:val="24"/>
          <w:szCs w:val="24"/>
          <w:shd w:val="clear" w:color="auto" w:fill="FFFFFF"/>
        </w:rPr>
        <w:t xml:space="preserve"> způsob, jakým bude exekuce provedena,</w:t>
      </w:r>
    </w:p>
    <w:p w:rsidR="009B70FF" w:rsidRPr="00FA109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d)</w:t>
      </w:r>
      <w:r>
        <w:rPr>
          <w:rFonts w:ascii="Times New Roman" w:hAnsi="Times New Roman"/>
          <w:i/>
          <w:iCs/>
          <w:sz w:val="24"/>
          <w:szCs w:val="24"/>
          <w:shd w:val="clear" w:color="auto" w:fill="FFFFFF"/>
        </w:rPr>
        <w:t xml:space="preserve"> věci a práva, kter</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mají být exekucí postiženy, a</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e)</w:t>
      </w:r>
      <w:r>
        <w:rPr>
          <w:rFonts w:ascii="Times New Roman" w:hAnsi="Times New Roman"/>
          <w:i/>
          <w:iCs/>
          <w:sz w:val="24"/>
          <w:szCs w:val="24"/>
          <w:shd w:val="clear" w:color="auto" w:fill="FFFFFF"/>
          <w:lang w:val="it-IT"/>
        </w:rPr>
        <w:t xml:space="preserve"> dal</w:t>
      </w:r>
      <w:r>
        <w:rPr>
          <w:rFonts w:ascii="Times New Roman" w:hAnsi="Times New Roman"/>
          <w:i/>
          <w:iCs/>
          <w:sz w:val="24"/>
          <w:szCs w:val="24"/>
          <w:shd w:val="clear" w:color="auto" w:fill="FFFFFF"/>
        </w:rPr>
        <w:t>ší údaje, pokud je to potřebn</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k provedení exekuce.</w:t>
      </w:r>
      <w:r w:rsidR="00EB4396">
        <w:rPr>
          <w:rFonts w:ascii="Times New Roman" w:hAnsi="Times New Roman"/>
          <w:i/>
          <w:iCs/>
          <w:sz w:val="24"/>
          <w:szCs w:val="24"/>
          <w:shd w:val="clear" w:color="auto" w:fill="FFFFFF"/>
        </w:rPr>
        <w: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Tento příkaz se oznamuje povinnému a dalším osobám, kterým z exekučního příkazu vyplývají práva a povinnosti a nelze se proti němu odvolat. Způsob výkonu exekuce se zvolí podle povahy povinnosti, nicméně v exekučním příkazu může být uveden pouze jeden ze způsobů. Způsob exekuce by měl být zvolen tak, aby nejméně poškozoval povinného, ale zároveň vedl k cíli. V případě, že by exekuce nevedla k cíli, a její průběh by byl spojen s mimořádnými a nepoměrnými obtížemi, bylo by nutné tuto exekuci zastavit. Pokud budou následně dodrženy lhůty, zákon nevylučuje, aby exekuce byla opět nařízena. Tato exekuce může být provedena i jiným způsobem.</w:t>
      </w:r>
      <w:r w:rsidR="00EB4396">
        <w:rPr>
          <w:rStyle w:val="Znakapoznpodarou"/>
          <w:rFonts w:ascii="Times New Roman" w:hAnsi="Times New Roman"/>
          <w:sz w:val="24"/>
          <w:szCs w:val="24"/>
          <w:shd w:val="clear" w:color="auto" w:fill="FFFFFF"/>
        </w:rPr>
        <w:footnoteReference w:id="52"/>
      </w:r>
      <w:r>
        <w:rPr>
          <w:rFonts w:ascii="Times New Roman" w:hAnsi="Times New Roman"/>
          <w:sz w:val="24"/>
          <w:szCs w:val="24"/>
          <w:shd w:val="clear" w:color="auto" w:fill="FFFFFF"/>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Exekuce m</w:t>
      </w:r>
      <w:r>
        <w:rPr>
          <w:rFonts w:ascii="Times New Roman" w:hAnsi="Times New Roman"/>
          <w:sz w:val="24"/>
          <w:szCs w:val="24"/>
          <w:shd w:val="clear" w:color="auto" w:fill="FFFFFF"/>
        </w:rPr>
        <w:t>ůže být usnesením správního orgánu ze závažný</w:t>
      </w:r>
      <w:r>
        <w:rPr>
          <w:rFonts w:ascii="Times New Roman" w:hAnsi="Times New Roman"/>
          <w:sz w:val="24"/>
          <w:szCs w:val="24"/>
          <w:shd w:val="clear" w:color="auto" w:fill="FFFFFF"/>
          <w:lang w:val="de-DE"/>
        </w:rPr>
        <w:t>ch d</w:t>
      </w:r>
      <w:r>
        <w:rPr>
          <w:rFonts w:ascii="Times New Roman" w:hAnsi="Times New Roman"/>
          <w:sz w:val="24"/>
          <w:szCs w:val="24"/>
          <w:shd w:val="clear" w:color="auto" w:fill="FFFFFF"/>
        </w:rPr>
        <w:t>ůvodů odložena či př</w:t>
      </w:r>
      <w:r>
        <w:rPr>
          <w:rFonts w:ascii="Times New Roman" w:hAnsi="Times New Roman"/>
          <w:sz w:val="24"/>
          <w:szCs w:val="24"/>
          <w:shd w:val="clear" w:color="auto" w:fill="FFFFFF"/>
          <w:lang w:val="de-DE"/>
        </w:rPr>
        <w:t>eru</w:t>
      </w:r>
      <w:r>
        <w:rPr>
          <w:rFonts w:ascii="Times New Roman" w:hAnsi="Times New Roman"/>
          <w:sz w:val="24"/>
          <w:szCs w:val="24"/>
          <w:shd w:val="clear" w:color="auto" w:fill="FFFFFF"/>
        </w:rPr>
        <w:t>šena. K tomuto může dojít v případě, že povinný požádá o posečkání splnění povinnosti a pokud z jeho chování vyplývá, že povinnost splní ve lhůtě pro provedení exekuce a pokud nehrozí, že by byl úč</w:t>
      </w:r>
      <w:r>
        <w:rPr>
          <w:rFonts w:ascii="Times New Roman" w:hAnsi="Times New Roman"/>
          <w:sz w:val="24"/>
          <w:szCs w:val="24"/>
          <w:shd w:val="clear" w:color="auto" w:fill="FFFFFF"/>
          <w:lang w:val="nl-NL"/>
        </w:rPr>
        <w:t>el exekuce tímto</w:t>
      </w:r>
      <w:r>
        <w:rPr>
          <w:rFonts w:ascii="Times New Roman" w:hAnsi="Times New Roman"/>
          <w:sz w:val="24"/>
          <w:szCs w:val="24"/>
          <w:shd w:val="clear" w:color="auto" w:fill="FFFFFF"/>
        </w:rPr>
        <w:t xml:space="preserve"> zmařen. Exekuce může být odložená či přerušená i bez požádání povinného, a to pokud se šetří skutečnosti, jež jsou rozhodn</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pro zastavení exekuce. Zároveň tak může být učiněno, stanoví-li tak zákon. Správní orgán si může vyžádat </w:t>
      </w:r>
      <w:r>
        <w:rPr>
          <w:rFonts w:ascii="Times New Roman" w:hAnsi="Times New Roman"/>
          <w:sz w:val="24"/>
          <w:szCs w:val="24"/>
          <w:shd w:val="clear" w:color="auto" w:fill="FFFFFF"/>
          <w:lang w:val="fr-FR"/>
        </w:rPr>
        <w:t>sou</w:t>
      </w:r>
      <w:r>
        <w:rPr>
          <w:rFonts w:ascii="Times New Roman" w:hAnsi="Times New Roman"/>
          <w:sz w:val="24"/>
          <w:szCs w:val="24"/>
          <w:shd w:val="clear" w:color="auto" w:fill="FFFFFF"/>
        </w:rPr>
        <w:t>činnost účastníka, jenž o odložení či př</w:t>
      </w:r>
      <w:r>
        <w:rPr>
          <w:rFonts w:ascii="Times New Roman" w:hAnsi="Times New Roman"/>
          <w:sz w:val="24"/>
          <w:szCs w:val="24"/>
          <w:shd w:val="clear" w:color="auto" w:fill="FFFFFF"/>
          <w:lang w:val="de-DE"/>
        </w:rPr>
        <w:t>eru</w:t>
      </w:r>
      <w:r>
        <w:rPr>
          <w:rFonts w:ascii="Times New Roman" w:hAnsi="Times New Roman"/>
          <w:sz w:val="24"/>
          <w:szCs w:val="24"/>
          <w:shd w:val="clear" w:color="auto" w:fill="FFFFFF"/>
        </w:rPr>
        <w:t>šení exekuce požá</w:t>
      </w:r>
      <w:r>
        <w:rPr>
          <w:rFonts w:ascii="Times New Roman" w:hAnsi="Times New Roman"/>
          <w:sz w:val="24"/>
          <w:szCs w:val="24"/>
          <w:shd w:val="clear" w:color="auto" w:fill="FFFFFF"/>
          <w:lang w:val="pt-PT"/>
        </w:rPr>
        <w:t>dal.</w:t>
      </w:r>
      <w:r w:rsidR="00EB4396">
        <w:rPr>
          <w:rStyle w:val="Znakapoznpodarou"/>
          <w:rFonts w:ascii="Times New Roman" w:hAnsi="Times New Roman"/>
          <w:sz w:val="24"/>
          <w:szCs w:val="24"/>
          <w:shd w:val="clear" w:color="auto" w:fill="FFFFFF"/>
          <w:lang w:val="pt-PT"/>
        </w:rPr>
        <w:footnoteReference w:id="53"/>
      </w:r>
      <w:r>
        <w:rPr>
          <w:rFonts w:ascii="Times New Roman" w:hAnsi="Times New Roman"/>
          <w:sz w:val="24"/>
          <w:szCs w:val="24"/>
          <w:shd w:val="clear" w:color="auto" w:fill="FFFFFF"/>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Jestli</w:t>
      </w:r>
      <w:r>
        <w:rPr>
          <w:rFonts w:ascii="Times New Roman" w:hAnsi="Times New Roman"/>
          <w:sz w:val="24"/>
          <w:szCs w:val="24"/>
          <w:shd w:val="clear" w:color="auto" w:fill="FFFFFF"/>
        </w:rPr>
        <w:t>že po nařízení exekuce zanikla povinnost k plnění či po nařízení exekuce zaniklo právo provádět exekuci nebo byl zruš</w:t>
      </w:r>
      <w:r>
        <w:rPr>
          <w:rFonts w:ascii="Times New Roman" w:hAnsi="Times New Roman"/>
          <w:sz w:val="24"/>
          <w:szCs w:val="24"/>
          <w:shd w:val="clear" w:color="auto" w:fill="FFFFFF"/>
          <w:lang w:val="nl-NL"/>
        </w:rPr>
        <w:t>en exeku</w:t>
      </w:r>
      <w:r>
        <w:rPr>
          <w:rFonts w:ascii="Times New Roman" w:hAnsi="Times New Roman"/>
          <w:sz w:val="24"/>
          <w:szCs w:val="24"/>
          <w:shd w:val="clear" w:color="auto" w:fill="FFFFFF"/>
        </w:rPr>
        <w:t>ční titul, který je podkladem pro exekuci může exekuční správní orgán exekuci zastavit. O zastavení exekuce může také požádat účastník řízení, na jehož žádost byla exekuce nařízena. Exekuce může být zastavena i v případě, že průběh exekuce ukazuje, že by její pokračování bylo spojeno s mimořádnými nebo nepoměrnými obtížemi, nebo se zjistí, že exekuce byla nařízena k vymožení neexistující povinnosti nebo vůči neexistujícímu povinn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mu. Provedení exekuce je nepřípustn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 protože před nařízením exekuce existoval důvod, pro který exekuci nebylo možno prov</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st, nebo je provedení exekuce nepřípustn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 protože po jejím nařízení nastal jiný důvod vyplývající ze zvláštního zákona nebo stavu věci, pro který nelze exekuci prov</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st.</w:t>
      </w:r>
      <w:r w:rsidR="00EB4396">
        <w:rPr>
          <w:rStyle w:val="Znakapoznpodarou"/>
          <w:rFonts w:ascii="Times New Roman" w:hAnsi="Times New Roman"/>
          <w:sz w:val="24"/>
          <w:szCs w:val="24"/>
          <w:shd w:val="clear" w:color="auto" w:fill="FFFFFF"/>
        </w:rPr>
        <w:footnoteReference w:id="54"/>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Exeku</w:t>
      </w:r>
      <w:r>
        <w:rPr>
          <w:rFonts w:ascii="Times New Roman" w:hAnsi="Times New Roman"/>
          <w:sz w:val="24"/>
          <w:szCs w:val="24"/>
          <w:shd w:val="clear" w:color="auto" w:fill="FFFFFF"/>
        </w:rPr>
        <w:t>ční řízení je možné přezkoumat, a to na základě podání námitek povinného či jiné osoby, které vyplývá z určitého úkonu povinnost. Proti usnesením nebo jiným úkonů</w:t>
      </w:r>
      <w:r>
        <w:rPr>
          <w:rFonts w:ascii="Times New Roman" w:hAnsi="Times New Roman"/>
          <w:sz w:val="24"/>
          <w:szCs w:val="24"/>
          <w:shd w:val="clear" w:color="auto" w:fill="FFFFFF"/>
          <w:lang w:val="pt-PT"/>
        </w:rPr>
        <w:t>m exeku</w:t>
      </w:r>
      <w:r>
        <w:rPr>
          <w:rFonts w:ascii="Times New Roman" w:hAnsi="Times New Roman"/>
          <w:sz w:val="24"/>
          <w:szCs w:val="24"/>
          <w:shd w:val="clear" w:color="auto" w:fill="FFFFFF"/>
        </w:rPr>
        <w:t>čního správního orgánu, proti kterým se nelze odvolat, může povinný nebo jiná osoba, kter</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z tohoto úkonu vyplývá povinnost, podat námitky. Námitky není možné podat, jestliže již bylo vykoná</w:t>
      </w:r>
      <w:r>
        <w:rPr>
          <w:rFonts w:ascii="Times New Roman" w:hAnsi="Times New Roman"/>
          <w:sz w:val="24"/>
          <w:szCs w:val="24"/>
          <w:shd w:val="clear" w:color="auto" w:fill="FFFFFF"/>
          <w:lang w:val="it-IT"/>
        </w:rPr>
        <w:t xml:space="preserve">no </w:t>
      </w:r>
      <w:r>
        <w:rPr>
          <w:rFonts w:ascii="Times New Roman" w:hAnsi="Times New Roman"/>
          <w:sz w:val="24"/>
          <w:szCs w:val="24"/>
          <w:shd w:val="clear" w:color="auto" w:fill="FFFFFF"/>
        </w:rPr>
        <w:t>usnesení nebo proveden jiný úkon. O námitkách rozhodne pověřený správní orgán a proti jeho rozhodnutí už se nelze odvolat.</w:t>
      </w:r>
      <w:r w:rsidR="00EB4396">
        <w:rPr>
          <w:rStyle w:val="Znakapoznpodarou"/>
          <w:rFonts w:ascii="Times New Roman" w:hAnsi="Times New Roman"/>
          <w:sz w:val="24"/>
          <w:szCs w:val="24"/>
          <w:shd w:val="clear" w:color="auto" w:fill="FFFFFF"/>
        </w:rPr>
        <w:footnoteReference w:id="55"/>
      </w:r>
      <w:r>
        <w:rPr>
          <w:rFonts w:ascii="Times New Roman" w:hAnsi="Times New Roman"/>
          <w:sz w:val="24"/>
          <w:szCs w:val="24"/>
          <w:shd w:val="clear" w:color="auto" w:fill="FFFFFF"/>
        </w:rPr>
        <w:t xml:space="preserve"> Námitky nemají devolutivné účinek, ale mohou mít odkladný účinek</w:t>
      </w:r>
      <w:r w:rsidR="00EB4396">
        <w:rPr>
          <w:rFonts w:ascii="Times New Roman" w:hAnsi="Times New Roman"/>
          <w:sz w:val="24"/>
          <w:szCs w:val="24"/>
          <w:shd w:val="clear" w:color="auto" w:fill="FFFFFF"/>
        </w:rPr>
        <w:t xml:space="preserve"> podle </w:t>
      </w:r>
      <w:r w:rsidR="00EB4396" w:rsidRPr="00C02AF2">
        <w:rPr>
          <w:rFonts w:ascii="Times New Roman" w:hAnsi="Times New Roman" w:cs="Times New Roman"/>
          <w:sz w:val="24"/>
          <w:szCs w:val="24"/>
          <w:shd w:val="clear" w:color="auto" w:fill="FFFFFF"/>
        </w:rPr>
        <w:t>§117 odst. 3 zákona č. 500/2004 Sb., správního řádu, a to v případě, že</w:t>
      </w:r>
      <w:r>
        <w:rPr>
          <w:rFonts w:ascii="Times New Roman" w:hAnsi="Times New Roman"/>
          <w:sz w:val="24"/>
          <w:szCs w:val="24"/>
          <w:shd w:val="clear" w:color="auto" w:fill="FFFFFF"/>
        </w:rPr>
        <w:t xml:space="preserve">: </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 xml:space="preserve">a) </w:t>
      </w:r>
      <w:r>
        <w:rPr>
          <w:rFonts w:ascii="Times New Roman" w:hAnsi="Times New Roman"/>
          <w:i/>
          <w:iCs/>
          <w:sz w:val="24"/>
          <w:szCs w:val="24"/>
          <w:shd w:val="clear" w:color="auto" w:fill="FFFFFF"/>
        </w:rPr>
        <w:t>směřují-li proti usnesení, jímž byla odložena nebo př</w:t>
      </w:r>
      <w:r>
        <w:rPr>
          <w:rFonts w:ascii="Times New Roman" w:hAnsi="Times New Roman"/>
          <w:i/>
          <w:iCs/>
          <w:sz w:val="24"/>
          <w:szCs w:val="24"/>
          <w:shd w:val="clear" w:color="auto" w:fill="FFFFFF"/>
          <w:lang w:val="de-DE"/>
        </w:rPr>
        <w:t>eru</w:t>
      </w:r>
      <w:r>
        <w:rPr>
          <w:rFonts w:ascii="Times New Roman" w:hAnsi="Times New Roman"/>
          <w:i/>
          <w:iCs/>
          <w:sz w:val="24"/>
          <w:szCs w:val="24"/>
          <w:shd w:val="clear" w:color="auto" w:fill="FFFFFF"/>
        </w:rPr>
        <w:t>šena exekuce,</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b)</w:t>
      </w:r>
      <w:r>
        <w:rPr>
          <w:rFonts w:ascii="Times New Roman" w:hAnsi="Times New Roman"/>
          <w:i/>
          <w:iCs/>
          <w:sz w:val="24"/>
          <w:szCs w:val="24"/>
          <w:shd w:val="clear" w:color="auto" w:fill="FFFFFF"/>
          <w:lang w:val="da-DK"/>
        </w:rPr>
        <w:t xml:space="preserve"> sm</w:t>
      </w:r>
      <w:r>
        <w:rPr>
          <w:rFonts w:ascii="Times New Roman" w:hAnsi="Times New Roman"/>
          <w:i/>
          <w:iCs/>
          <w:sz w:val="24"/>
          <w:szCs w:val="24"/>
          <w:shd w:val="clear" w:color="auto" w:fill="FFFFFF"/>
        </w:rPr>
        <w:t>ěřují-li proti exekučnímu příkazu, jímž byla nařízena exekuce vyklizením,</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c)</w:t>
      </w:r>
      <w:r>
        <w:rPr>
          <w:rFonts w:ascii="Times New Roman" w:hAnsi="Times New Roman"/>
          <w:i/>
          <w:iCs/>
          <w:sz w:val="24"/>
          <w:szCs w:val="24"/>
          <w:shd w:val="clear" w:color="auto" w:fill="FFFFFF"/>
          <w:lang w:val="da-DK"/>
        </w:rPr>
        <w:t xml:space="preserve"> sm</w:t>
      </w:r>
      <w:r>
        <w:rPr>
          <w:rFonts w:ascii="Times New Roman" w:hAnsi="Times New Roman"/>
          <w:i/>
          <w:iCs/>
          <w:sz w:val="24"/>
          <w:szCs w:val="24"/>
          <w:shd w:val="clear" w:color="auto" w:fill="FFFFFF"/>
        </w:rPr>
        <w:t>ěřují-li proti usnesení, jímž byla zastavena exekuce,</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d)</w:t>
      </w:r>
      <w:r>
        <w:rPr>
          <w:rFonts w:ascii="Times New Roman" w:hAnsi="Times New Roman"/>
          <w:i/>
          <w:iCs/>
          <w:sz w:val="24"/>
          <w:szCs w:val="24"/>
          <w:shd w:val="clear" w:color="auto" w:fill="FFFFFF"/>
        </w:rPr>
        <w:t xml:space="preserve"> uplatňuje-li se některý z důvodů uvedených v § 115 písm. a), b), e), f) nebo g), anebo</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e)</w:t>
      </w:r>
      <w:r>
        <w:rPr>
          <w:rFonts w:ascii="Times New Roman" w:hAnsi="Times New Roman"/>
          <w:i/>
          <w:iCs/>
          <w:sz w:val="24"/>
          <w:szCs w:val="24"/>
          <w:shd w:val="clear" w:color="auto" w:fill="FFFFFF"/>
        </w:rPr>
        <w:t xml:space="preserve"> rozhodne-li o tom z vážný</w:t>
      </w:r>
      <w:r>
        <w:rPr>
          <w:rFonts w:ascii="Times New Roman" w:hAnsi="Times New Roman"/>
          <w:i/>
          <w:iCs/>
          <w:sz w:val="24"/>
          <w:szCs w:val="24"/>
          <w:shd w:val="clear" w:color="auto" w:fill="FFFFFF"/>
          <w:lang w:val="de-DE"/>
        </w:rPr>
        <w:t>ch d</w:t>
      </w:r>
      <w:r>
        <w:rPr>
          <w:rFonts w:ascii="Times New Roman" w:hAnsi="Times New Roman"/>
          <w:i/>
          <w:iCs/>
          <w:sz w:val="24"/>
          <w:szCs w:val="24"/>
          <w:shd w:val="clear" w:color="auto" w:fill="FFFFFF"/>
        </w:rPr>
        <w:t xml:space="preserve">ůvodů </w:t>
      </w:r>
      <w:r>
        <w:rPr>
          <w:rFonts w:ascii="Times New Roman" w:hAnsi="Times New Roman"/>
          <w:i/>
          <w:iCs/>
          <w:sz w:val="24"/>
          <w:szCs w:val="24"/>
          <w:shd w:val="clear" w:color="auto" w:fill="FFFFFF"/>
          <w:lang w:val="pt-PT"/>
        </w:rPr>
        <w:t>exeku</w:t>
      </w:r>
      <w:r>
        <w:rPr>
          <w:rFonts w:ascii="Times New Roman" w:hAnsi="Times New Roman"/>
          <w:i/>
          <w:iCs/>
          <w:sz w:val="24"/>
          <w:szCs w:val="24"/>
          <w:shd w:val="clear" w:color="auto" w:fill="FFFFFF"/>
        </w:rPr>
        <w:t xml:space="preserve">ční </w:t>
      </w:r>
      <w:r>
        <w:rPr>
          <w:rFonts w:ascii="Times New Roman" w:hAnsi="Times New Roman"/>
          <w:i/>
          <w:iCs/>
          <w:sz w:val="24"/>
          <w:szCs w:val="24"/>
          <w:shd w:val="clear" w:color="auto" w:fill="FFFFFF"/>
          <w:lang w:val="de-DE"/>
        </w:rPr>
        <w:t>spr</w:t>
      </w:r>
      <w:r>
        <w:rPr>
          <w:rFonts w:ascii="Times New Roman" w:hAnsi="Times New Roman"/>
          <w:i/>
          <w:iCs/>
          <w:sz w:val="24"/>
          <w:szCs w:val="24"/>
          <w:shd w:val="clear" w:color="auto" w:fill="FFFFFF"/>
        </w:rPr>
        <w:t>ávní orgán.</w:t>
      </w:r>
    </w:p>
    <w:p w:rsidR="009B70FF" w:rsidRPr="00535809"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 xml:space="preserve">Exekuční náklady vybírá a jejich exekuci provádí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 xml:space="preserve">ční </w:t>
      </w:r>
      <w:r>
        <w:rPr>
          <w:rFonts w:ascii="Times New Roman" w:hAnsi="Times New Roman"/>
          <w:sz w:val="24"/>
          <w:szCs w:val="24"/>
          <w:shd w:val="clear" w:color="auto" w:fill="FFFFFF"/>
          <w:lang w:val="de-DE"/>
        </w:rPr>
        <w:t>spr</w:t>
      </w:r>
      <w:r>
        <w:rPr>
          <w:rFonts w:ascii="Times New Roman" w:hAnsi="Times New Roman"/>
          <w:sz w:val="24"/>
          <w:szCs w:val="24"/>
          <w:shd w:val="clear" w:color="auto" w:fill="FFFFFF"/>
        </w:rPr>
        <w:t>ávní orgán, který jejich náhradu ulož</w:t>
      </w:r>
      <w:r>
        <w:rPr>
          <w:rFonts w:ascii="Times New Roman" w:hAnsi="Times New Roman"/>
          <w:sz w:val="24"/>
          <w:szCs w:val="24"/>
          <w:shd w:val="clear" w:color="auto" w:fill="FFFFFF"/>
          <w:lang w:val="pt-PT"/>
        </w:rPr>
        <w:t>il.</w:t>
      </w:r>
      <w:r>
        <w:rPr>
          <w:rFonts w:ascii="Times New Roman" w:hAnsi="Times New Roman"/>
          <w:sz w:val="24"/>
          <w:szCs w:val="24"/>
          <w:shd w:val="clear" w:color="auto" w:fill="FFFFFF"/>
        </w:rPr>
        <w:t xml:space="preserve"> Náklady v případě zastavení exekuce z důvodů uvedených v § 115 písm. e) nebo f) hradí povinný. Povinný dále hradí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 náklady vždy, pokud byl vydá</w:t>
      </w:r>
      <w:r>
        <w:rPr>
          <w:rFonts w:ascii="Times New Roman" w:hAnsi="Times New Roman"/>
          <w:sz w:val="24"/>
          <w:szCs w:val="24"/>
          <w:shd w:val="clear" w:color="auto" w:fill="FFFFFF"/>
          <w:lang w:val="en-US"/>
        </w:rPr>
        <w:t>n exeku</w:t>
      </w:r>
      <w:r>
        <w:rPr>
          <w:rFonts w:ascii="Times New Roman" w:hAnsi="Times New Roman"/>
          <w:sz w:val="24"/>
          <w:szCs w:val="24"/>
          <w:shd w:val="clear" w:color="auto" w:fill="FFFFFF"/>
        </w:rPr>
        <w:t>ční příkaz nebo pokud při exekuci odebrání</w:t>
      </w:r>
      <w:r>
        <w:rPr>
          <w:rFonts w:ascii="Times New Roman" w:hAnsi="Times New Roman"/>
          <w:sz w:val="24"/>
          <w:szCs w:val="24"/>
          <w:shd w:val="clear" w:color="auto" w:fill="FFFFFF"/>
          <w:lang w:val="it-IT"/>
        </w:rPr>
        <w:t>m movit</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věci oprávněná úřední osoba přistoupila k odebrání věci nebo při exekuci přímým vynucení</w:t>
      </w:r>
      <w:r>
        <w:rPr>
          <w:rFonts w:ascii="Times New Roman" w:hAnsi="Times New Roman"/>
          <w:sz w:val="24"/>
          <w:szCs w:val="24"/>
          <w:shd w:val="clear" w:color="auto" w:fill="FFFFFF"/>
          <w:lang w:val="pt-PT"/>
        </w:rPr>
        <w:t>m p</w:t>
      </w:r>
      <w:r>
        <w:rPr>
          <w:rFonts w:ascii="Times New Roman" w:hAnsi="Times New Roman"/>
          <w:sz w:val="24"/>
          <w:szCs w:val="24"/>
          <w:shd w:val="clear" w:color="auto" w:fill="FFFFFF"/>
        </w:rPr>
        <w:t>řistoupila k vyklizení. Jestliže byla exekuce zastavena podle § 115 odst. 1 písm. c), je povinen exekuční náklady nahradit ten, kdo o zastavení požá</w:t>
      </w:r>
      <w:r>
        <w:rPr>
          <w:rFonts w:ascii="Times New Roman" w:hAnsi="Times New Roman"/>
          <w:sz w:val="24"/>
          <w:szCs w:val="24"/>
          <w:shd w:val="clear" w:color="auto" w:fill="FFFFFF"/>
          <w:lang w:val="pt-PT"/>
        </w:rPr>
        <w:t>dal.</w:t>
      </w:r>
      <w:r w:rsidR="00EB4396">
        <w:rPr>
          <w:rStyle w:val="Znakapoznpodarou"/>
          <w:rFonts w:ascii="Times New Roman" w:hAnsi="Times New Roman"/>
          <w:sz w:val="24"/>
          <w:szCs w:val="24"/>
          <w:shd w:val="clear" w:color="auto" w:fill="FFFFFF"/>
          <w:lang w:val="pt-PT"/>
        </w:rPr>
        <w:footnoteReference w:id="56"/>
      </w:r>
    </w:p>
    <w:p w:rsidR="009B70FF" w:rsidRPr="00535809" w:rsidRDefault="009B70FF" w:rsidP="007A2179">
      <w:pPr>
        <w:pStyle w:val="Nadpis2"/>
        <w:numPr>
          <w:ilvl w:val="1"/>
          <w:numId w:val="34"/>
        </w:numPr>
        <w:pBdr>
          <w:top w:val="nil"/>
          <w:left w:val="nil"/>
          <w:bottom w:val="nil"/>
          <w:right w:val="nil"/>
          <w:between w:val="nil"/>
          <w:bar w:val="nil"/>
        </w:pBdr>
        <w:spacing w:before="260" w:after="260" w:line="240" w:lineRule="auto"/>
        <w:ind w:left="709" w:hanging="709"/>
        <w:jc w:val="left"/>
        <w:rPr>
          <w:rFonts w:eastAsia="Times New Roman" w:cs="Times New Roman"/>
          <w:color w:val="000000"/>
        </w:rPr>
      </w:pPr>
      <w:bookmarkStart w:id="52" w:name="_Toc17"/>
      <w:bookmarkStart w:id="53" w:name="_Toc18276732"/>
      <w:bookmarkStart w:id="54" w:name="_Toc18313952"/>
      <w:r w:rsidRPr="00535809">
        <w:rPr>
          <w:color w:val="000000"/>
          <w:u w:color="000000"/>
        </w:rPr>
        <w:t>Způsoby provedení exekuce správních rozhodnutí</w:t>
      </w:r>
      <w:bookmarkEnd w:id="52"/>
      <w:bookmarkEnd w:id="53"/>
      <w:bookmarkEnd w:id="54"/>
    </w:p>
    <w:p w:rsidR="009B70FF" w:rsidRPr="00535809" w:rsidRDefault="009B70FF" w:rsidP="009B70FF">
      <w:pPr>
        <w:spacing w:after="120"/>
        <w:ind w:firstLine="708"/>
        <w:rPr>
          <w:rFonts w:eastAsia="Times New Roman" w:cs="Times New Roman"/>
          <w:szCs w:val="24"/>
        </w:rPr>
      </w:pPr>
      <w:r>
        <w:rPr>
          <w:szCs w:val="24"/>
          <w:lang w:val="de-DE"/>
        </w:rPr>
        <w:t>Spr</w:t>
      </w:r>
      <w:r>
        <w:rPr>
          <w:szCs w:val="24"/>
        </w:rPr>
        <w:t>ávní exekuci na peněžitá plnění neboli exekuci daňovou lze prov</w:t>
      </w:r>
      <w:r>
        <w:rPr>
          <w:szCs w:val="24"/>
          <w:lang w:val="fr-FR"/>
        </w:rPr>
        <w:t>é</w:t>
      </w:r>
      <w:r>
        <w:rPr>
          <w:szCs w:val="24"/>
        </w:rPr>
        <w:t xml:space="preserve">st způsoby uvedenými v § </w:t>
      </w:r>
      <w:r>
        <w:rPr>
          <w:szCs w:val="24"/>
          <w:lang w:val="nl-NL"/>
        </w:rPr>
        <w:t>178 z</w:t>
      </w:r>
      <w:r>
        <w:rPr>
          <w:szCs w:val="24"/>
        </w:rPr>
        <w:t>ákona č. 280/2009 Sb., daňov</w:t>
      </w:r>
      <w:r>
        <w:rPr>
          <w:szCs w:val="24"/>
          <w:lang w:val="fr-FR"/>
        </w:rPr>
        <w:t>é</w:t>
      </w:r>
      <w:r>
        <w:rPr>
          <w:szCs w:val="24"/>
        </w:rPr>
        <w:t xml:space="preserve">ho řádu. Těmito způsoby jsou: </w:t>
      </w:r>
    </w:p>
    <w:p w:rsidR="009B70FF" w:rsidRDefault="00EB4396" w:rsidP="009B70FF">
      <w:pPr>
        <w:spacing w:after="120"/>
        <w:rPr>
          <w:rFonts w:eastAsia="Times New Roman" w:cs="Times New Roman"/>
          <w:i/>
          <w:iCs/>
          <w:szCs w:val="24"/>
        </w:rPr>
      </w:pPr>
      <w:r>
        <w:rPr>
          <w:i/>
          <w:iCs/>
          <w:szCs w:val="24"/>
        </w:rPr>
        <w:t>„</w:t>
      </w:r>
      <w:r w:rsidR="009B70FF">
        <w:rPr>
          <w:i/>
          <w:iCs/>
          <w:szCs w:val="24"/>
        </w:rPr>
        <w:t>a) srážkami ze mzdy,</w:t>
      </w:r>
    </w:p>
    <w:p w:rsidR="009B70FF" w:rsidRDefault="009B70FF" w:rsidP="009B70FF">
      <w:pPr>
        <w:spacing w:after="164"/>
        <w:rPr>
          <w:rFonts w:eastAsia="Times New Roman" w:cs="Times New Roman"/>
          <w:i/>
          <w:iCs/>
          <w:szCs w:val="24"/>
        </w:rPr>
      </w:pPr>
      <w:r>
        <w:rPr>
          <w:i/>
          <w:iCs/>
          <w:szCs w:val="24"/>
        </w:rPr>
        <w:t>b) přikázáním pohledávky z účtu u poskytovatele platebních služ</w:t>
      </w:r>
      <w:r>
        <w:rPr>
          <w:i/>
          <w:iCs/>
          <w:szCs w:val="24"/>
          <w:lang w:val="de-DE"/>
        </w:rPr>
        <w:t>eb,</w:t>
      </w:r>
    </w:p>
    <w:p w:rsidR="009B70FF" w:rsidRDefault="009B70FF" w:rsidP="009B70FF">
      <w:pPr>
        <w:spacing w:after="164"/>
        <w:rPr>
          <w:rFonts w:eastAsia="Times New Roman" w:cs="Times New Roman"/>
          <w:i/>
          <w:iCs/>
          <w:szCs w:val="24"/>
        </w:rPr>
      </w:pPr>
      <w:r>
        <w:rPr>
          <w:i/>
          <w:iCs/>
          <w:szCs w:val="24"/>
        </w:rPr>
        <w:t>c) přikázáním jin</w:t>
      </w:r>
      <w:r>
        <w:rPr>
          <w:i/>
          <w:iCs/>
          <w:szCs w:val="24"/>
          <w:lang w:val="fr-FR"/>
        </w:rPr>
        <w:t xml:space="preserve">é </w:t>
      </w:r>
      <w:r>
        <w:rPr>
          <w:i/>
          <w:iCs/>
          <w:szCs w:val="24"/>
        </w:rPr>
        <w:t xml:space="preserve">peněžní pohledávky, </w:t>
      </w:r>
    </w:p>
    <w:p w:rsidR="009B70FF" w:rsidRDefault="009B70FF" w:rsidP="009B70FF">
      <w:pPr>
        <w:spacing w:after="164"/>
        <w:rPr>
          <w:rFonts w:eastAsia="Times New Roman" w:cs="Times New Roman"/>
          <w:i/>
          <w:iCs/>
          <w:szCs w:val="24"/>
        </w:rPr>
      </w:pPr>
      <w:r>
        <w:rPr>
          <w:i/>
          <w:iCs/>
          <w:szCs w:val="24"/>
        </w:rPr>
        <w:t>d) postižením jiných majetkových práv,</w:t>
      </w:r>
    </w:p>
    <w:p w:rsidR="009B70FF" w:rsidRDefault="009B70FF" w:rsidP="009B70FF">
      <w:pPr>
        <w:spacing w:after="164"/>
        <w:rPr>
          <w:rFonts w:eastAsia="Times New Roman" w:cs="Times New Roman"/>
          <w:i/>
          <w:iCs/>
          <w:szCs w:val="24"/>
        </w:rPr>
      </w:pPr>
      <w:r>
        <w:rPr>
          <w:i/>
          <w:iCs/>
          <w:szCs w:val="24"/>
        </w:rPr>
        <w:t xml:space="preserve">e) prodejem movitých věcí, </w:t>
      </w:r>
    </w:p>
    <w:p w:rsidR="009B70FF" w:rsidRDefault="009B70FF" w:rsidP="009B70FF">
      <w:pPr>
        <w:spacing w:after="120"/>
        <w:rPr>
          <w:rFonts w:eastAsia="Times New Roman" w:cs="Times New Roman"/>
          <w:i/>
          <w:iCs/>
          <w:szCs w:val="24"/>
        </w:rPr>
      </w:pPr>
      <w:r>
        <w:rPr>
          <w:i/>
          <w:iCs/>
          <w:szCs w:val="24"/>
        </w:rPr>
        <w:t>f) prodejem nemovitých věcí.</w:t>
      </w:r>
      <w:r w:rsidR="00EB4396">
        <w:rPr>
          <w:i/>
          <w:iCs/>
          <w:szCs w:val="24"/>
        </w:rPr>
        <w:t>“</w:t>
      </w:r>
    </w:p>
    <w:p w:rsidR="009B70FF" w:rsidRDefault="009B70FF" w:rsidP="009B70FF">
      <w:pPr>
        <w:spacing w:after="120"/>
        <w:ind w:firstLine="708"/>
        <w:rPr>
          <w:rFonts w:eastAsia="Times New Roman" w:cs="Times New Roman"/>
          <w:szCs w:val="24"/>
        </w:rPr>
      </w:pPr>
      <w:r>
        <w:rPr>
          <w:szCs w:val="24"/>
        </w:rPr>
        <w:t xml:space="preserve">Toto ustanovení je speciální vůči § 258 OSŘ, jež </w:t>
      </w:r>
      <w:r>
        <w:rPr>
          <w:szCs w:val="24"/>
          <w:lang w:val="nl-NL"/>
        </w:rPr>
        <w:t>se v</w:t>
      </w:r>
      <w:r>
        <w:rPr>
          <w:szCs w:val="24"/>
        </w:rPr>
        <w:t> </w:t>
      </w:r>
      <w:r>
        <w:rPr>
          <w:szCs w:val="24"/>
          <w:lang w:val="pt-PT"/>
        </w:rPr>
        <w:t>exeku</w:t>
      </w:r>
      <w:r>
        <w:rPr>
          <w:szCs w:val="24"/>
        </w:rPr>
        <w:t>čním řízení nepoužije. Daňová exekuce je prováděna správcem daně. Ten ji nemůže mimo způ</w:t>
      </w:r>
      <w:r>
        <w:rPr>
          <w:szCs w:val="24"/>
          <w:lang w:val="es-ES_tradnl"/>
        </w:rPr>
        <w:t>sob</w:t>
      </w:r>
      <w:r>
        <w:rPr>
          <w:szCs w:val="24"/>
        </w:rPr>
        <w:t>ů uvedených v zákoně provádět prodejem zástavy, prodejem podniku nebo zřizováním soudcovsk</w:t>
      </w:r>
      <w:r>
        <w:rPr>
          <w:szCs w:val="24"/>
          <w:lang w:val="fr-FR"/>
        </w:rPr>
        <w:t>é</w:t>
      </w:r>
      <w:r>
        <w:rPr>
          <w:szCs w:val="24"/>
        </w:rPr>
        <w:t>ho zástavního práva. Správce daně dále nemůže provádě</w:t>
      </w:r>
      <w:r>
        <w:rPr>
          <w:szCs w:val="24"/>
          <w:lang w:val="fr-FR"/>
        </w:rPr>
        <w:t>t da</w:t>
      </w:r>
      <w:r>
        <w:rPr>
          <w:szCs w:val="24"/>
        </w:rPr>
        <w:t>ňovou exekuci na nepeněžit</w:t>
      </w:r>
      <w:r>
        <w:rPr>
          <w:szCs w:val="24"/>
          <w:lang w:val="fr-FR"/>
        </w:rPr>
        <w:t xml:space="preserve">é </w:t>
      </w:r>
      <w:r>
        <w:rPr>
          <w:szCs w:val="24"/>
        </w:rPr>
        <w:t>plnění. Exekuci lze prov</w:t>
      </w:r>
      <w:r>
        <w:rPr>
          <w:szCs w:val="24"/>
          <w:lang w:val="fr-FR"/>
        </w:rPr>
        <w:t>é</w:t>
      </w:r>
      <w:r>
        <w:rPr>
          <w:szCs w:val="24"/>
        </w:rPr>
        <w:t>zt na základě jednoho titulu i více způsoby.</w:t>
      </w:r>
      <w:r w:rsidR="00EB4396">
        <w:rPr>
          <w:rStyle w:val="Znakapoznpodarou"/>
          <w:szCs w:val="24"/>
        </w:rPr>
        <w:footnoteReference w:id="57"/>
      </w:r>
      <w:r>
        <w:rPr>
          <w:szCs w:val="24"/>
        </w:rPr>
        <w:t xml:space="preserve"> K tomuto odkazuje rozsudek Nejvyššího správního soudu ze dne 30.3. 2010 podle něhož žádn</w:t>
      </w:r>
      <w:r>
        <w:rPr>
          <w:szCs w:val="24"/>
          <w:lang w:val="fr-FR"/>
        </w:rPr>
        <w:t xml:space="preserve">é </w:t>
      </w:r>
      <w:r>
        <w:rPr>
          <w:szCs w:val="24"/>
        </w:rPr>
        <w:t>ustanovení zákona č. 377/1992 Sb., o správě daní a poplatků, nebrání tomu, aby správce daně vymá</w:t>
      </w:r>
      <w:r>
        <w:rPr>
          <w:szCs w:val="24"/>
          <w:lang w:val="pt-PT"/>
        </w:rPr>
        <w:t>hal da</w:t>
      </w:r>
      <w:r>
        <w:rPr>
          <w:szCs w:val="24"/>
        </w:rPr>
        <w:t xml:space="preserve">ňový nedoplatek více způsoby zároveň. </w:t>
      </w:r>
      <w:r>
        <w:rPr>
          <w:rFonts w:eastAsia="Times New Roman" w:cs="Times New Roman"/>
          <w:szCs w:val="24"/>
          <w:vertAlign w:val="superscript"/>
        </w:rPr>
        <w:footnoteReference w:id="58"/>
      </w:r>
    </w:p>
    <w:p w:rsidR="009B70FF" w:rsidRDefault="009B70FF" w:rsidP="009B70FF">
      <w:pPr>
        <w:ind w:firstLine="708"/>
        <w:rPr>
          <w:rFonts w:eastAsia="Times New Roman" w:cs="Times New Roman"/>
          <w:szCs w:val="24"/>
        </w:rPr>
      </w:pPr>
      <w:r>
        <w:rPr>
          <w:szCs w:val="24"/>
        </w:rPr>
        <w:t>Daňová exekuce může být zvolena v rámci zásady přiměřenosti jako nejvhodnější prostředek k vymožení daně, nicm</w:t>
      </w:r>
      <w:r>
        <w:rPr>
          <w:szCs w:val="24"/>
          <w:lang w:val="fr-FR"/>
        </w:rPr>
        <w:t>é</w:t>
      </w:r>
      <w:r>
        <w:rPr>
          <w:szCs w:val="24"/>
        </w:rPr>
        <w:t>ně i v rámci t</w:t>
      </w:r>
      <w:r>
        <w:rPr>
          <w:szCs w:val="24"/>
          <w:lang w:val="fr-FR"/>
        </w:rPr>
        <w:t>é</w:t>
      </w:r>
      <w:r>
        <w:rPr>
          <w:szCs w:val="24"/>
          <w:lang w:val="pt-PT"/>
        </w:rPr>
        <w:t>to exekuce mus</w:t>
      </w:r>
      <w:r>
        <w:rPr>
          <w:szCs w:val="24"/>
        </w:rPr>
        <w:t xml:space="preserve">í </w:t>
      </w:r>
      <w:r>
        <w:rPr>
          <w:szCs w:val="24"/>
          <w:lang w:val="de-DE"/>
        </w:rPr>
        <w:t>spr</w:t>
      </w:r>
      <w:r>
        <w:rPr>
          <w:szCs w:val="24"/>
        </w:rPr>
        <w:t>ávce daně stále volit ten nejmírnější prostředek k naplnění cí</w:t>
      </w:r>
      <w:r>
        <w:rPr>
          <w:szCs w:val="24"/>
          <w:lang w:val="pt-PT"/>
        </w:rPr>
        <w:t>le exeku</w:t>
      </w:r>
      <w:r>
        <w:rPr>
          <w:szCs w:val="24"/>
        </w:rPr>
        <w:t>čního řízení. V rámci volby způsobu provedení daňov</w:t>
      </w:r>
      <w:r>
        <w:rPr>
          <w:szCs w:val="24"/>
          <w:lang w:val="fr-FR"/>
        </w:rPr>
        <w:t xml:space="preserve">é </w:t>
      </w:r>
      <w:r>
        <w:rPr>
          <w:szCs w:val="24"/>
        </w:rPr>
        <w:t xml:space="preserve">exekuce musí </w:t>
      </w:r>
      <w:r>
        <w:rPr>
          <w:szCs w:val="24"/>
          <w:lang w:val="de-DE"/>
        </w:rPr>
        <w:t>spr</w:t>
      </w:r>
      <w:r>
        <w:rPr>
          <w:szCs w:val="24"/>
        </w:rPr>
        <w:t>ávce v první řadě zvolit jeden ze způ</w:t>
      </w:r>
      <w:r>
        <w:rPr>
          <w:szCs w:val="24"/>
          <w:lang w:val="es-ES_tradnl"/>
        </w:rPr>
        <w:t>sob</w:t>
      </w:r>
      <w:r>
        <w:rPr>
          <w:szCs w:val="24"/>
        </w:rPr>
        <w:t>ů uvedených v ustanovení výš</w:t>
      </w:r>
      <w:r>
        <w:rPr>
          <w:szCs w:val="24"/>
          <w:lang w:val="pt-PT"/>
        </w:rPr>
        <w:t>e a a</w:t>
      </w:r>
      <w:r>
        <w:rPr>
          <w:szCs w:val="24"/>
        </w:rPr>
        <w:t>ž pot</w:t>
      </w:r>
      <w:r>
        <w:rPr>
          <w:szCs w:val="24"/>
          <w:lang w:val="fr-FR"/>
        </w:rPr>
        <w:t xml:space="preserve">é </w:t>
      </w:r>
      <w:r>
        <w:rPr>
          <w:szCs w:val="24"/>
        </w:rPr>
        <w:t>může využít způsobu prodeje nemovit</w:t>
      </w:r>
      <w:r>
        <w:rPr>
          <w:szCs w:val="24"/>
          <w:lang w:val="fr-FR"/>
        </w:rPr>
        <w:t xml:space="preserve">é </w:t>
      </w:r>
      <w:r>
        <w:rPr>
          <w:szCs w:val="24"/>
        </w:rPr>
        <w:t>věci. Pochopitelně je nutné každý případ posuzovat ad hoc. Zásada přiměřenosti nelze být interpretována tak, že pokud správci daně zbývá pouze jeden zjevně nepřiměřený způsob, tak nelze prov</w:t>
      </w:r>
      <w:r>
        <w:rPr>
          <w:szCs w:val="24"/>
          <w:lang w:val="fr-FR"/>
        </w:rPr>
        <w:t>é</w:t>
      </w:r>
      <w:r>
        <w:rPr>
          <w:szCs w:val="24"/>
        </w:rPr>
        <w:t>st exekuci. Jednalo by se totiž o rozpor s cí</w:t>
      </w:r>
      <w:r>
        <w:rPr>
          <w:szCs w:val="24"/>
          <w:lang w:val="de-DE"/>
        </w:rPr>
        <w:t>lem da</w:t>
      </w:r>
      <w:r>
        <w:rPr>
          <w:szCs w:val="24"/>
        </w:rPr>
        <w:t>ňov</w:t>
      </w:r>
      <w:r>
        <w:rPr>
          <w:szCs w:val="24"/>
          <w:lang w:val="fr-FR"/>
        </w:rPr>
        <w:t>é</w:t>
      </w:r>
      <w:r>
        <w:rPr>
          <w:szCs w:val="24"/>
        </w:rPr>
        <w:t>ho řízení. Pokud je daňových exekucí nařízeno více, a výtěž</w:t>
      </w:r>
      <w:r>
        <w:rPr>
          <w:szCs w:val="24"/>
          <w:lang w:val="nl-NL"/>
        </w:rPr>
        <w:t>ek z</w:t>
      </w:r>
      <w:r>
        <w:rPr>
          <w:szCs w:val="24"/>
        </w:rPr>
        <w:t> někter</w:t>
      </w:r>
      <w:r>
        <w:rPr>
          <w:szCs w:val="24"/>
          <w:lang w:val="fr-FR"/>
        </w:rPr>
        <w:t xml:space="preserve">é </w:t>
      </w:r>
      <w:r>
        <w:rPr>
          <w:szCs w:val="24"/>
        </w:rPr>
        <w:t>t</w:t>
      </w:r>
      <w:r>
        <w:rPr>
          <w:szCs w:val="24"/>
          <w:lang w:val="fr-FR"/>
        </w:rPr>
        <w:t>é</w:t>
      </w:r>
      <w:r>
        <w:rPr>
          <w:szCs w:val="24"/>
          <w:lang w:val="pt-PT"/>
        </w:rPr>
        <w:t>to exekuce sta</w:t>
      </w:r>
      <w:r>
        <w:rPr>
          <w:szCs w:val="24"/>
        </w:rPr>
        <w:t>čí k pokrytí nedoplatků, může správce daně exekuci zastavit. Zastavení</w:t>
      </w:r>
      <w:r>
        <w:rPr>
          <w:szCs w:val="24"/>
          <w:lang w:val="fr-FR"/>
        </w:rPr>
        <w:t xml:space="preserve"> </w:t>
      </w:r>
      <w:r>
        <w:rPr>
          <w:szCs w:val="24"/>
        </w:rPr>
        <w:t>exekuce lze v daňov</w:t>
      </w:r>
      <w:r>
        <w:rPr>
          <w:szCs w:val="24"/>
          <w:lang w:val="fr-FR"/>
        </w:rPr>
        <w:t xml:space="preserve">é </w:t>
      </w:r>
      <w:r>
        <w:rPr>
          <w:szCs w:val="24"/>
        </w:rPr>
        <w:t>exekuci tak</w:t>
      </w:r>
      <w:r>
        <w:rPr>
          <w:szCs w:val="24"/>
          <w:lang w:val="fr-FR"/>
        </w:rPr>
        <w:t xml:space="preserve">é </w:t>
      </w:r>
      <w:r>
        <w:rPr>
          <w:szCs w:val="24"/>
        </w:rPr>
        <w:t xml:space="preserve">z důvodu nepřiměřenosti. V tomto případě však musí </w:t>
      </w:r>
      <w:r>
        <w:rPr>
          <w:szCs w:val="24"/>
          <w:lang w:val="de-DE"/>
        </w:rPr>
        <w:t>spr</w:t>
      </w:r>
      <w:r>
        <w:rPr>
          <w:szCs w:val="24"/>
        </w:rPr>
        <w:t>ávce daně hodnotit tyto skutečnosti s předstihem.</w:t>
      </w:r>
      <w:r>
        <w:rPr>
          <w:rFonts w:eastAsia="Times New Roman" w:cs="Times New Roman"/>
          <w:szCs w:val="24"/>
          <w:vertAlign w:val="superscript"/>
        </w:rPr>
        <w:footnoteReference w:id="59"/>
      </w:r>
    </w:p>
    <w:p w:rsidR="009B70FF" w:rsidRDefault="009B70FF" w:rsidP="009B70FF">
      <w:pPr>
        <w:spacing w:after="120"/>
        <w:rPr>
          <w:rFonts w:eastAsia="Times New Roman" w:cs="Times New Roman"/>
          <w:szCs w:val="24"/>
        </w:rPr>
      </w:pPr>
      <w:r>
        <w:rPr>
          <w:szCs w:val="24"/>
        </w:rPr>
        <w:t>Exekuce k vymožení nepeněžit</w:t>
      </w:r>
      <w:r>
        <w:rPr>
          <w:szCs w:val="24"/>
          <w:lang w:val="fr-FR"/>
        </w:rPr>
        <w:t>é</w:t>
      </w:r>
      <w:r>
        <w:rPr>
          <w:szCs w:val="24"/>
        </w:rPr>
        <w:t>ho plnění se řídí povahou uložen</w:t>
      </w:r>
      <w:r>
        <w:rPr>
          <w:szCs w:val="24"/>
          <w:lang w:val="fr-FR"/>
        </w:rPr>
        <w:t xml:space="preserve">é </w:t>
      </w:r>
      <w:r>
        <w:rPr>
          <w:szCs w:val="24"/>
        </w:rPr>
        <w:t>povinnosti. Lze ji prov</w:t>
      </w:r>
      <w:r>
        <w:rPr>
          <w:szCs w:val="24"/>
          <w:lang w:val="fr-FR"/>
        </w:rPr>
        <w:t>é</w:t>
      </w:r>
      <w:r>
        <w:rPr>
          <w:szCs w:val="24"/>
        </w:rPr>
        <w:t>st dle § 112, zákona č. 500/2004 Sb., správního řá</w:t>
      </w:r>
      <w:r>
        <w:rPr>
          <w:szCs w:val="24"/>
          <w:lang w:val="fr-FR"/>
        </w:rPr>
        <w:t>du t</w:t>
      </w:r>
      <w:r>
        <w:rPr>
          <w:szCs w:val="24"/>
        </w:rPr>
        <w:t>ěmito způsoby:</w:t>
      </w:r>
    </w:p>
    <w:p w:rsidR="009B70FF" w:rsidRDefault="00EB4396" w:rsidP="009B70FF">
      <w:pPr>
        <w:spacing w:after="120"/>
        <w:rPr>
          <w:rFonts w:eastAsia="Times New Roman" w:cs="Times New Roman"/>
          <w:i/>
          <w:iCs/>
          <w:szCs w:val="24"/>
        </w:rPr>
      </w:pPr>
      <w:r>
        <w:rPr>
          <w:i/>
          <w:iCs/>
          <w:szCs w:val="24"/>
        </w:rPr>
        <w:t>„</w:t>
      </w:r>
      <w:r w:rsidR="009B70FF">
        <w:rPr>
          <w:i/>
          <w:iCs/>
          <w:szCs w:val="24"/>
        </w:rPr>
        <w:t>a) náhradním výkonem v případě zastupitelných plnění,</w:t>
      </w:r>
    </w:p>
    <w:p w:rsidR="009B70FF" w:rsidRDefault="009B70FF" w:rsidP="009B70FF">
      <w:pPr>
        <w:rPr>
          <w:rFonts w:eastAsia="Times New Roman" w:cs="Times New Roman"/>
          <w:i/>
          <w:iCs/>
          <w:szCs w:val="24"/>
        </w:rPr>
      </w:pPr>
      <w:r>
        <w:rPr>
          <w:i/>
          <w:iCs/>
          <w:szCs w:val="24"/>
        </w:rPr>
        <w:t>b) přímým vynucením v případě nezastupitelných plnění, zejm</w:t>
      </w:r>
      <w:r>
        <w:rPr>
          <w:i/>
          <w:iCs/>
          <w:szCs w:val="24"/>
          <w:lang w:val="fr-FR"/>
        </w:rPr>
        <w:t>é</w:t>
      </w:r>
      <w:r>
        <w:rPr>
          <w:i/>
          <w:iCs/>
          <w:szCs w:val="24"/>
        </w:rPr>
        <w:t>na vyklizení</w:t>
      </w:r>
      <w:r>
        <w:rPr>
          <w:i/>
          <w:iCs/>
          <w:szCs w:val="24"/>
          <w:lang w:val="de-DE"/>
        </w:rPr>
        <w:t>m, odebr</w:t>
      </w:r>
      <w:r>
        <w:rPr>
          <w:i/>
          <w:iCs/>
          <w:szCs w:val="24"/>
        </w:rPr>
        <w:t>ání</w:t>
      </w:r>
      <w:r>
        <w:rPr>
          <w:i/>
          <w:iCs/>
          <w:szCs w:val="24"/>
          <w:lang w:val="it-IT"/>
        </w:rPr>
        <w:t>m movit</w:t>
      </w:r>
      <w:r>
        <w:rPr>
          <w:i/>
          <w:iCs/>
          <w:szCs w:val="24"/>
          <w:lang w:val="fr-FR"/>
        </w:rPr>
        <w:t xml:space="preserve">é </w:t>
      </w:r>
      <w:r>
        <w:rPr>
          <w:i/>
          <w:iCs/>
          <w:szCs w:val="24"/>
        </w:rPr>
        <w:t>věci a předvedením, nebo</w:t>
      </w:r>
    </w:p>
    <w:p w:rsidR="009B70FF" w:rsidRDefault="009B70FF" w:rsidP="009B70FF">
      <w:pPr>
        <w:rPr>
          <w:rFonts w:eastAsia="Times New Roman" w:cs="Times New Roman"/>
          <w:i/>
          <w:iCs/>
          <w:szCs w:val="24"/>
        </w:rPr>
      </w:pPr>
      <w:r>
        <w:rPr>
          <w:i/>
          <w:iCs/>
          <w:szCs w:val="24"/>
        </w:rPr>
        <w:t>c) ukládáním donucovacích pokut.</w:t>
      </w:r>
      <w:r w:rsidR="00EB4396">
        <w:rPr>
          <w:i/>
          <w:iCs/>
          <w:szCs w:val="24"/>
        </w:rPr>
        <w:t>“</w:t>
      </w:r>
    </w:p>
    <w:p w:rsidR="009B70FF" w:rsidRDefault="009B70FF" w:rsidP="009B70FF">
      <w:pPr>
        <w:ind w:firstLine="708"/>
        <w:rPr>
          <w:rFonts w:eastAsia="Times New Roman" w:cs="Times New Roman"/>
          <w:szCs w:val="24"/>
        </w:rPr>
      </w:pPr>
      <w:r>
        <w:rPr>
          <w:szCs w:val="24"/>
        </w:rPr>
        <w:t>Výše uveden</w:t>
      </w:r>
      <w:r>
        <w:rPr>
          <w:szCs w:val="24"/>
          <w:lang w:val="fr-FR"/>
        </w:rPr>
        <w:t xml:space="preserve">é </w:t>
      </w:r>
      <w:r>
        <w:rPr>
          <w:szCs w:val="24"/>
        </w:rPr>
        <w:t>způsoby se uplatňují s ohledem na charakter uložen</w:t>
      </w:r>
      <w:r>
        <w:rPr>
          <w:szCs w:val="24"/>
          <w:lang w:val="fr-FR"/>
        </w:rPr>
        <w:t xml:space="preserve">é </w:t>
      </w:r>
      <w:r>
        <w:rPr>
          <w:szCs w:val="24"/>
        </w:rPr>
        <w:t>povinnosti. Je potřeba vzít v potaz základní zásady činnosti správních orgánů, především zásadu rychlosti, účelnosti a hospodárnosti řízení</w:t>
      </w:r>
      <w:r>
        <w:rPr>
          <w:szCs w:val="24"/>
          <w:lang w:val="nl-NL"/>
        </w:rPr>
        <w:t>, z</w:t>
      </w:r>
      <w:r>
        <w:rPr>
          <w:szCs w:val="24"/>
        </w:rPr>
        <w:t>ásadu proporcionality, legitimního očekávání či zákazu zneužití pravomoci správních orgánů. Účelu exekuce musí být dosaženo co nejefektivněji, a to především s přihl</w:t>
      </w:r>
      <w:r>
        <w:rPr>
          <w:szCs w:val="24"/>
          <w:lang w:val="fr-FR"/>
        </w:rPr>
        <w:t>é</w:t>
      </w:r>
      <w:r>
        <w:rPr>
          <w:szCs w:val="24"/>
        </w:rPr>
        <w:t>dnutím k osobě povinn</w:t>
      </w:r>
      <w:r>
        <w:rPr>
          <w:szCs w:val="24"/>
          <w:lang w:val="fr-FR"/>
        </w:rPr>
        <w:t>é</w:t>
      </w:r>
      <w:r>
        <w:rPr>
          <w:szCs w:val="24"/>
          <w:lang w:val="it-IT"/>
        </w:rPr>
        <w:t>ho.</w:t>
      </w:r>
      <w:r w:rsidR="00EB4396">
        <w:rPr>
          <w:rStyle w:val="Znakapoznpodarou"/>
          <w:szCs w:val="24"/>
          <w:lang w:val="it-IT"/>
        </w:rPr>
        <w:footnoteReference w:id="60"/>
      </w:r>
      <w:r>
        <w:rPr>
          <w:szCs w:val="24"/>
          <w:lang w:val="it-IT"/>
        </w:rPr>
        <w:t xml:space="preserve"> </w:t>
      </w:r>
    </w:p>
    <w:p w:rsidR="009B70FF" w:rsidRDefault="009B70FF" w:rsidP="009B70FF">
      <w:pPr>
        <w:ind w:firstLine="708"/>
        <w:rPr>
          <w:rFonts w:eastAsia="Times New Roman" w:cs="Times New Roman"/>
          <w:szCs w:val="24"/>
        </w:rPr>
      </w:pPr>
      <w:r>
        <w:rPr>
          <w:szCs w:val="24"/>
        </w:rPr>
        <w:t>Exekuci podle výše uveden</w:t>
      </w:r>
      <w:r>
        <w:rPr>
          <w:szCs w:val="24"/>
          <w:lang w:val="fr-FR"/>
        </w:rPr>
        <w:t>é</w:t>
      </w:r>
      <w:r>
        <w:rPr>
          <w:szCs w:val="24"/>
        </w:rPr>
        <w:t>ho ustanovení lze tedy prov</w:t>
      </w:r>
      <w:r>
        <w:rPr>
          <w:szCs w:val="24"/>
          <w:lang w:val="fr-FR"/>
        </w:rPr>
        <w:t>é</w:t>
      </w:r>
      <w:r>
        <w:rPr>
          <w:szCs w:val="24"/>
        </w:rPr>
        <w:t xml:space="preserve">st náhradním výkonem, přímým vynucením či ukládáním donucovacích pokut. Pokud se jedná o plnění zastupitelná, užije se náhradní výkon. U těchto plnění </w:t>
      </w:r>
      <w:r>
        <w:rPr>
          <w:szCs w:val="24"/>
          <w:lang w:val="de-DE"/>
        </w:rPr>
        <w:t>nen</w:t>
      </w:r>
      <w:r>
        <w:rPr>
          <w:szCs w:val="24"/>
        </w:rPr>
        <w:t>í vyžadováno, aby povinnost byla vykonána výlučně povinným. Zároveň je možn</w:t>
      </w:r>
      <w:r>
        <w:rPr>
          <w:szCs w:val="24"/>
          <w:lang w:val="fr-FR"/>
        </w:rPr>
        <w:t>é</w:t>
      </w:r>
      <w:r>
        <w:rPr>
          <w:szCs w:val="24"/>
        </w:rPr>
        <w:t>, aby stanovená povinnost k provedení nějak</w:t>
      </w:r>
      <w:r>
        <w:rPr>
          <w:szCs w:val="24"/>
          <w:lang w:val="fr-FR"/>
        </w:rPr>
        <w:t xml:space="preserve">é </w:t>
      </w:r>
      <w:r>
        <w:rPr>
          <w:szCs w:val="24"/>
        </w:rPr>
        <w:t>práce nebo výkonu mohla být splně</w:t>
      </w:r>
      <w:r>
        <w:rPr>
          <w:szCs w:val="24"/>
          <w:lang w:val="it-IT"/>
        </w:rPr>
        <w:t>na n</w:t>
      </w:r>
      <w:r>
        <w:rPr>
          <w:szCs w:val="24"/>
        </w:rPr>
        <w:t>ěkým jiným, ale na náklady a nebezpečí povinn</w:t>
      </w:r>
      <w:r>
        <w:rPr>
          <w:szCs w:val="24"/>
          <w:lang w:val="fr-FR"/>
        </w:rPr>
        <w:t>é</w:t>
      </w:r>
      <w:r>
        <w:rPr>
          <w:szCs w:val="24"/>
          <w:lang w:val="it-IT"/>
        </w:rPr>
        <w:t>ho.</w:t>
      </w:r>
      <w:r w:rsidR="00EB4396">
        <w:rPr>
          <w:rStyle w:val="Znakapoznpodarou"/>
          <w:szCs w:val="24"/>
          <w:lang w:val="it-IT"/>
        </w:rPr>
        <w:footnoteReference w:id="61"/>
      </w:r>
      <w:r>
        <w:rPr>
          <w:szCs w:val="24"/>
          <w:lang w:val="it-IT"/>
        </w:rPr>
        <w:t xml:space="preserve"> </w:t>
      </w:r>
    </w:p>
    <w:p w:rsidR="009B70FF" w:rsidRDefault="009B70FF" w:rsidP="009B70FF">
      <w:pPr>
        <w:ind w:firstLine="708"/>
        <w:rPr>
          <w:rFonts w:eastAsia="Times New Roman" w:cs="Times New Roman"/>
          <w:szCs w:val="24"/>
        </w:rPr>
      </w:pPr>
      <w:r>
        <w:rPr>
          <w:szCs w:val="24"/>
        </w:rPr>
        <w:t>V případě nezastupiteln</w:t>
      </w:r>
      <w:r>
        <w:rPr>
          <w:szCs w:val="24"/>
          <w:lang w:val="fr-FR"/>
        </w:rPr>
        <w:t>é</w:t>
      </w:r>
      <w:r>
        <w:rPr>
          <w:szCs w:val="24"/>
        </w:rPr>
        <w:t>ho plnění, kdy není možnost náhradního výkonu, se provede exekuce přímým vynucením. Tuto exekuci je možn</w:t>
      </w:r>
      <w:r>
        <w:rPr>
          <w:szCs w:val="24"/>
          <w:lang w:val="fr-FR"/>
        </w:rPr>
        <w:t xml:space="preserve">é </w:t>
      </w:r>
      <w:r>
        <w:rPr>
          <w:szCs w:val="24"/>
        </w:rPr>
        <w:t>prov</w:t>
      </w:r>
      <w:r>
        <w:rPr>
          <w:szCs w:val="24"/>
          <w:lang w:val="fr-FR"/>
        </w:rPr>
        <w:t>é</w:t>
      </w:r>
      <w:r>
        <w:rPr>
          <w:szCs w:val="24"/>
        </w:rPr>
        <w:t>st různými způsoby, jako například vyklizením nemovitosti, stavby, bytu, místnosti či jiných prostor, odebrání</w:t>
      </w:r>
      <w:r>
        <w:rPr>
          <w:szCs w:val="24"/>
          <w:lang w:val="it-IT"/>
        </w:rPr>
        <w:t>m movit</w:t>
      </w:r>
      <w:r>
        <w:rPr>
          <w:szCs w:val="24"/>
          <w:lang w:val="fr-FR"/>
        </w:rPr>
        <w:t xml:space="preserve">é </w:t>
      </w:r>
      <w:r>
        <w:rPr>
          <w:szCs w:val="24"/>
        </w:rPr>
        <w:t>věci nebo předvedením. Obecn</w:t>
      </w:r>
      <w:r>
        <w:rPr>
          <w:szCs w:val="24"/>
          <w:lang w:val="fr-FR"/>
        </w:rPr>
        <w:t xml:space="preserve">é </w:t>
      </w:r>
      <w:r>
        <w:rPr>
          <w:szCs w:val="24"/>
        </w:rPr>
        <w:t>způsoby provedení exekuce jsou v § 112 vymezeny taxativně, konkr</w:t>
      </w:r>
      <w:r>
        <w:rPr>
          <w:szCs w:val="24"/>
          <w:lang w:val="fr-FR"/>
        </w:rPr>
        <w:t>é</w:t>
      </w:r>
      <w:r>
        <w:rPr>
          <w:szCs w:val="24"/>
        </w:rPr>
        <w:t>tní způsoby, jak prov</w:t>
      </w:r>
      <w:r>
        <w:rPr>
          <w:szCs w:val="24"/>
          <w:lang w:val="fr-FR"/>
        </w:rPr>
        <w:t>é</w:t>
      </w:r>
      <w:r>
        <w:rPr>
          <w:szCs w:val="24"/>
        </w:rPr>
        <w:t>st exekuci přímým vynucením povinnosti, která vyplývá z </w:t>
      </w:r>
      <w:r>
        <w:rPr>
          <w:szCs w:val="24"/>
          <w:lang w:val="pt-PT"/>
        </w:rPr>
        <w:t>exeku</w:t>
      </w:r>
      <w:r>
        <w:rPr>
          <w:szCs w:val="24"/>
        </w:rPr>
        <w:t>čního titulu, jsou stanoveny demonstrativně. Tuto exekuci by bylo možn</w:t>
      </w:r>
      <w:r>
        <w:rPr>
          <w:szCs w:val="24"/>
          <w:lang w:val="fr-FR"/>
        </w:rPr>
        <w:t xml:space="preserve">é </w:t>
      </w:r>
      <w:r>
        <w:rPr>
          <w:szCs w:val="24"/>
        </w:rPr>
        <w:t>provádět i jinými způsoby než vyklizení</w:t>
      </w:r>
      <w:r>
        <w:rPr>
          <w:szCs w:val="24"/>
          <w:lang w:val="de-DE"/>
        </w:rPr>
        <w:t>m, odebr</w:t>
      </w:r>
      <w:r>
        <w:rPr>
          <w:szCs w:val="24"/>
        </w:rPr>
        <w:t>ání</w:t>
      </w:r>
      <w:r>
        <w:rPr>
          <w:szCs w:val="24"/>
          <w:lang w:val="it-IT"/>
        </w:rPr>
        <w:t>m movit</w:t>
      </w:r>
      <w:r>
        <w:rPr>
          <w:szCs w:val="24"/>
          <w:lang w:val="fr-FR"/>
        </w:rPr>
        <w:t xml:space="preserve">é </w:t>
      </w:r>
      <w:r>
        <w:rPr>
          <w:szCs w:val="24"/>
        </w:rPr>
        <w:t>věci nebo předvedením, ale muselo by se jednat o způsoby, jež by byly úměrn</w:t>
      </w:r>
      <w:r>
        <w:rPr>
          <w:szCs w:val="24"/>
          <w:lang w:val="fr-FR"/>
        </w:rPr>
        <w:t xml:space="preserve">é </w:t>
      </w:r>
      <w:r>
        <w:rPr>
          <w:szCs w:val="24"/>
        </w:rPr>
        <w:t>okolnostem dan</w:t>
      </w:r>
      <w:r>
        <w:rPr>
          <w:szCs w:val="24"/>
          <w:lang w:val="fr-FR"/>
        </w:rPr>
        <w:t>é</w:t>
      </w:r>
      <w:r>
        <w:rPr>
          <w:szCs w:val="24"/>
        </w:rPr>
        <w:t>ho případu.</w:t>
      </w:r>
      <w:r w:rsidR="00EB4396">
        <w:rPr>
          <w:rStyle w:val="Znakapoznpodarou"/>
          <w:szCs w:val="24"/>
        </w:rPr>
        <w:footnoteReference w:id="62"/>
      </w:r>
      <w:r>
        <w:rPr>
          <w:szCs w:val="24"/>
        </w:rPr>
        <w:t xml:space="preserve"> </w:t>
      </w:r>
    </w:p>
    <w:p w:rsidR="009B70FF" w:rsidRDefault="009B70FF" w:rsidP="009B70FF">
      <w:pPr>
        <w:ind w:firstLine="708"/>
        <w:rPr>
          <w:szCs w:val="24"/>
        </w:rPr>
      </w:pPr>
      <w:r>
        <w:rPr>
          <w:szCs w:val="24"/>
        </w:rPr>
        <w:t>Exekuci ukládáním donucovacích pokut lze uplatnit pouze subsidiárně. To znamená, že se můž</w:t>
      </w:r>
      <w:r>
        <w:rPr>
          <w:szCs w:val="24"/>
          <w:lang w:val="fr-FR"/>
        </w:rPr>
        <w:t>e pou</w:t>
      </w:r>
      <w:r>
        <w:rPr>
          <w:szCs w:val="24"/>
        </w:rPr>
        <w:t>žít pouze v případě, že není možn</w:t>
      </w:r>
      <w:r>
        <w:rPr>
          <w:szCs w:val="24"/>
          <w:lang w:val="fr-FR"/>
        </w:rPr>
        <w:t xml:space="preserve">é </w:t>
      </w:r>
      <w:r>
        <w:rPr>
          <w:szCs w:val="24"/>
        </w:rPr>
        <w:t>provedení exekuce jiným způsobem. Donucovací pokuta může být uplatněna jako vedlejší donucovací prostředek, spolu s </w:t>
      </w:r>
      <w:r>
        <w:rPr>
          <w:szCs w:val="24"/>
          <w:lang w:val="it-IT"/>
        </w:rPr>
        <w:t>dal</w:t>
      </w:r>
      <w:r>
        <w:rPr>
          <w:szCs w:val="24"/>
        </w:rPr>
        <w:t>ší exekucí. Jelikož zaplacením uložen</w:t>
      </w:r>
      <w:r>
        <w:rPr>
          <w:szCs w:val="24"/>
          <w:lang w:val="fr-FR"/>
        </w:rPr>
        <w:t xml:space="preserve">é </w:t>
      </w:r>
      <w:r>
        <w:rPr>
          <w:szCs w:val="24"/>
        </w:rPr>
        <w:t>pokuty se povinný nezprostí odpovědnosti za škodu, vzniklou jeho jednáním.</w:t>
      </w:r>
      <w:r w:rsidR="00EB4396">
        <w:rPr>
          <w:rStyle w:val="Znakapoznpodarou"/>
          <w:szCs w:val="24"/>
        </w:rPr>
        <w:footnoteReference w:id="63"/>
      </w:r>
    </w:p>
    <w:p w:rsidR="009B70FF" w:rsidRDefault="009B70FF" w:rsidP="009B70FF">
      <w:pPr>
        <w:spacing w:line="240" w:lineRule="auto"/>
        <w:rPr>
          <w:szCs w:val="24"/>
        </w:rPr>
      </w:pPr>
      <w:r>
        <w:rPr>
          <w:szCs w:val="24"/>
        </w:rPr>
        <w:br w:type="page"/>
      </w:r>
    </w:p>
    <w:p w:rsidR="009B70FF" w:rsidRPr="000B0160" w:rsidRDefault="009B70FF" w:rsidP="007A2179">
      <w:pPr>
        <w:pStyle w:val="Nadpis1"/>
        <w:numPr>
          <w:ilvl w:val="0"/>
          <w:numId w:val="34"/>
        </w:numPr>
        <w:pBdr>
          <w:top w:val="nil"/>
          <w:left w:val="nil"/>
          <w:bottom w:val="nil"/>
          <w:right w:val="nil"/>
          <w:between w:val="nil"/>
          <w:bar w:val="nil"/>
        </w:pBdr>
        <w:spacing w:before="280" w:after="280"/>
        <w:ind w:left="709" w:hanging="709"/>
        <w:rPr>
          <w:rFonts w:eastAsia="Times New Roman" w:cs="Times New Roman"/>
          <w:color w:val="000000"/>
        </w:rPr>
      </w:pPr>
      <w:bookmarkStart w:id="55" w:name="_Toc18"/>
      <w:bookmarkStart w:id="56" w:name="_Toc18276733"/>
      <w:bookmarkStart w:id="57" w:name="_Toc18313953"/>
      <w:r>
        <w:rPr>
          <w:color w:val="000000"/>
          <w:u w:color="000000"/>
        </w:rPr>
        <w:t>Exekuce soudní</w:t>
      </w:r>
      <w:bookmarkEnd w:id="55"/>
      <w:bookmarkEnd w:id="56"/>
      <w:bookmarkEnd w:id="57"/>
    </w:p>
    <w:p w:rsidR="009B70FF" w:rsidRDefault="009B70FF" w:rsidP="009B70FF">
      <w:pPr>
        <w:ind w:firstLine="708"/>
        <w:rPr>
          <w:rFonts w:eastAsia="Times New Roman" w:cs="Times New Roman"/>
          <w:szCs w:val="24"/>
        </w:rPr>
      </w:pPr>
      <w:r>
        <w:rPr>
          <w:szCs w:val="24"/>
        </w:rPr>
        <w:t>Latinský název exekuce byl nahrazen názvem výkon rozhodnutí, jež má původ v zákoně č</w:t>
      </w:r>
      <w:r>
        <w:rPr>
          <w:szCs w:val="24"/>
          <w:lang w:val="pt-PT"/>
        </w:rPr>
        <w:t>. 99/1963 Sb., o ob</w:t>
      </w:r>
      <w:r>
        <w:rPr>
          <w:szCs w:val="24"/>
        </w:rPr>
        <w:t>č</w:t>
      </w:r>
      <w:r>
        <w:rPr>
          <w:szCs w:val="24"/>
          <w:lang w:val="da-DK"/>
        </w:rPr>
        <w:t>ansk</w:t>
      </w:r>
      <w:r>
        <w:rPr>
          <w:szCs w:val="24"/>
          <w:lang w:val="fr-FR"/>
        </w:rPr>
        <w:t>é</w:t>
      </w:r>
      <w:r>
        <w:rPr>
          <w:szCs w:val="24"/>
        </w:rPr>
        <w:t>m soudním řízení. Vymáhání pohledávek byla činnost, která byla vyhrazena výlučně soudům. To se změnilo s účinností zákona č. 201/2001 Sb. o soudních exekutorech a exekučním řízení a mohou jej tudíž v přenesen</w:t>
      </w:r>
      <w:r>
        <w:rPr>
          <w:szCs w:val="24"/>
          <w:lang w:val="fr-FR"/>
        </w:rPr>
        <w:t xml:space="preserve">é </w:t>
      </w:r>
      <w:r>
        <w:rPr>
          <w:szCs w:val="24"/>
        </w:rPr>
        <w:t>působnosti vykonávat soudní exekutoř</w:t>
      </w:r>
      <w:r>
        <w:rPr>
          <w:szCs w:val="24"/>
          <w:lang w:val="it-IT"/>
        </w:rPr>
        <w:t>i. V</w:t>
      </w:r>
      <w:r>
        <w:rPr>
          <w:szCs w:val="24"/>
        </w:rPr>
        <w:t>ýkon rozhodnutí tedy zůstal soudům a je nutn</w:t>
      </w:r>
      <w:r>
        <w:rPr>
          <w:szCs w:val="24"/>
          <w:lang w:val="fr-FR"/>
        </w:rPr>
        <w:t xml:space="preserve">é </w:t>
      </w:r>
      <w:r>
        <w:rPr>
          <w:szCs w:val="24"/>
        </w:rPr>
        <w:t xml:space="preserve">jej odlišovat od exekuce, kterou vykonávají soudní exekutoři. Soudní výkon rozhodnutí je upraven v OSŘ a úloha soudu je dvojího druhu. Jedná </w:t>
      </w:r>
      <w:r>
        <w:rPr>
          <w:szCs w:val="24"/>
          <w:lang w:val="nl-NL"/>
        </w:rPr>
        <w:t>se v</w:t>
      </w:r>
      <w:r>
        <w:rPr>
          <w:szCs w:val="24"/>
        </w:rPr>
        <w:t> první řadě o projednávání a rozhodování věcí, kter</w:t>
      </w:r>
      <w:r>
        <w:rPr>
          <w:szCs w:val="24"/>
          <w:lang w:val="fr-FR"/>
        </w:rPr>
        <w:t xml:space="preserve">é </w:t>
      </w:r>
      <w:r>
        <w:rPr>
          <w:szCs w:val="24"/>
        </w:rPr>
        <w:t>vyplývají z občanskoprávních, rodinných, pracovních, družstevních, ale i obchodních vztahů a pak především provádění výkonu rozhodnutí, jež nebylo dobrovolně splně</w:t>
      </w:r>
      <w:r>
        <w:rPr>
          <w:szCs w:val="24"/>
          <w:lang w:val="it-IT"/>
        </w:rPr>
        <w:t>no.</w:t>
      </w:r>
      <w:r>
        <w:rPr>
          <w:rFonts w:eastAsia="Times New Roman" w:cs="Times New Roman"/>
          <w:szCs w:val="24"/>
          <w:vertAlign w:val="superscript"/>
        </w:rPr>
        <w:footnoteReference w:id="64"/>
      </w:r>
    </w:p>
    <w:p w:rsidR="009B70FF" w:rsidRDefault="009B70FF" w:rsidP="009B70FF">
      <w:pPr>
        <w:ind w:firstLine="708"/>
        <w:rPr>
          <w:rFonts w:eastAsia="Times New Roman" w:cs="Times New Roman"/>
          <w:szCs w:val="24"/>
        </w:rPr>
      </w:pPr>
      <w:r>
        <w:rPr>
          <w:szCs w:val="24"/>
        </w:rPr>
        <w:t xml:space="preserve">Co se týče výkonu rozhodnutí, jedná </w:t>
      </w:r>
      <w:r>
        <w:rPr>
          <w:szCs w:val="24"/>
          <w:lang w:val="pt-PT"/>
        </w:rPr>
        <w:t>se o funk</w:t>
      </w:r>
      <w:r>
        <w:rPr>
          <w:szCs w:val="24"/>
        </w:rPr>
        <w:t>ční uplatnění soudu, př</w:t>
      </w:r>
      <w:r>
        <w:rPr>
          <w:szCs w:val="24"/>
          <w:lang w:val="it-IT"/>
        </w:rPr>
        <w:t>i n</w:t>
      </w:r>
      <w:r>
        <w:rPr>
          <w:szCs w:val="24"/>
        </w:rPr>
        <w:t>ěmž jsou využity prostředky státního donucení. Soud tyto prostředky využívá jako ochranu práv věřitelů, kteří nemohou vzít právo do svých rukou. Soud se ve vykonávacím řízení nemusí zabývat hmotněprávní</w:t>
      </w:r>
      <w:r>
        <w:rPr>
          <w:szCs w:val="24"/>
          <w:lang w:val="it-IT"/>
        </w:rPr>
        <w:t>mi p</w:t>
      </w:r>
      <w:r>
        <w:rPr>
          <w:szCs w:val="24"/>
        </w:rPr>
        <w:t>ředpoklady prosazovan</w:t>
      </w:r>
      <w:r>
        <w:rPr>
          <w:szCs w:val="24"/>
          <w:lang w:val="fr-FR"/>
        </w:rPr>
        <w:t>é</w:t>
      </w:r>
      <w:r>
        <w:rPr>
          <w:szCs w:val="24"/>
        </w:rPr>
        <w:t>ho nároku. Ty jsou řešeny v nal</w:t>
      </w:r>
      <w:r>
        <w:rPr>
          <w:szCs w:val="24"/>
          <w:lang w:val="fr-FR"/>
        </w:rPr>
        <w:t>é</w:t>
      </w:r>
      <w:r>
        <w:rPr>
          <w:szCs w:val="24"/>
        </w:rPr>
        <w:t xml:space="preserve">zacím řízení příslušným soudem či jiným orgánem. Významným je pro celé řízení především způsobilý právní titul, jenž dosvědčuje opodstatněnost věřitelova požadavku. Jedná </w:t>
      </w:r>
      <w:r>
        <w:rPr>
          <w:szCs w:val="24"/>
          <w:lang w:val="pt-PT"/>
        </w:rPr>
        <w:t>se o exeku</w:t>
      </w:r>
      <w:r>
        <w:rPr>
          <w:szCs w:val="24"/>
        </w:rPr>
        <w:t>ční titul a ten je předpokladem pro zahájení exekuce. Obsahem vykonateln</w:t>
      </w:r>
      <w:r>
        <w:rPr>
          <w:szCs w:val="24"/>
          <w:lang w:val="fr-FR"/>
        </w:rPr>
        <w:t>é</w:t>
      </w:r>
      <w:r>
        <w:rPr>
          <w:szCs w:val="24"/>
        </w:rPr>
        <w:t xml:space="preserve">ho rozhodnutí je předmět povinnosti, jež má být vynucena a procesní strany ve vykonávacím řízení, tedy </w:t>
      </w:r>
      <w:r>
        <w:rPr>
          <w:szCs w:val="24"/>
          <w:lang w:val="it-IT"/>
        </w:rPr>
        <w:t>opr</w:t>
      </w:r>
      <w:r>
        <w:rPr>
          <w:szCs w:val="24"/>
        </w:rPr>
        <w:t>ávněný a povinný</w:t>
      </w:r>
      <w:r>
        <w:rPr>
          <w:rFonts w:eastAsia="Times New Roman" w:cs="Times New Roman"/>
          <w:szCs w:val="24"/>
          <w:vertAlign w:val="superscript"/>
        </w:rPr>
        <w:footnoteReference w:id="65"/>
      </w:r>
    </w:p>
    <w:p w:rsidR="009B70FF" w:rsidRPr="00053343" w:rsidRDefault="009B70FF" w:rsidP="007A2179">
      <w:pPr>
        <w:pStyle w:val="Nadpis2"/>
        <w:numPr>
          <w:ilvl w:val="1"/>
          <w:numId w:val="34"/>
        </w:numPr>
        <w:pBdr>
          <w:top w:val="nil"/>
          <w:left w:val="nil"/>
          <w:bottom w:val="nil"/>
          <w:right w:val="nil"/>
          <w:between w:val="nil"/>
          <w:bar w:val="nil"/>
        </w:pBdr>
        <w:spacing w:before="260" w:after="260"/>
        <w:ind w:left="709" w:hanging="709"/>
        <w:jc w:val="left"/>
        <w:rPr>
          <w:rFonts w:eastAsia="Times New Roman" w:cs="Times New Roman"/>
          <w:color w:val="000000"/>
        </w:rPr>
      </w:pPr>
      <w:bookmarkStart w:id="58" w:name="_Toc19"/>
      <w:bookmarkStart w:id="59" w:name="_Toc18276734"/>
      <w:bookmarkStart w:id="60" w:name="_Toc18313954"/>
      <w:r>
        <w:rPr>
          <w:color w:val="000000"/>
          <w:u w:color="000000"/>
        </w:rPr>
        <w:t>Exekuční titul</w:t>
      </w:r>
      <w:bookmarkEnd w:id="58"/>
      <w:bookmarkEnd w:id="59"/>
      <w:bookmarkEnd w:id="60"/>
    </w:p>
    <w:p w:rsidR="009B70FF" w:rsidRDefault="009B70FF" w:rsidP="009B70FF">
      <w:pPr>
        <w:ind w:firstLine="708"/>
        <w:rPr>
          <w:rFonts w:eastAsia="Times New Roman" w:cs="Times New Roman"/>
          <w:szCs w:val="24"/>
        </w:rPr>
      </w:pPr>
      <w:r>
        <w:rPr>
          <w:szCs w:val="24"/>
        </w:rPr>
        <w:t>Základní</w:t>
      </w:r>
      <w:r>
        <w:rPr>
          <w:szCs w:val="24"/>
          <w:lang w:val="pt-PT"/>
        </w:rPr>
        <w:t>m p</w:t>
      </w:r>
      <w:r>
        <w:rPr>
          <w:szCs w:val="24"/>
        </w:rPr>
        <w:t xml:space="preserve">ředpokladem pro výkon rozhodnutí </w:t>
      </w:r>
      <w:r>
        <w:rPr>
          <w:szCs w:val="24"/>
          <w:lang w:val="pt-PT"/>
        </w:rPr>
        <w:t>je exeku</w:t>
      </w:r>
      <w:r>
        <w:rPr>
          <w:szCs w:val="24"/>
        </w:rPr>
        <w:t>ční titul. Jedná se o jak</w:t>
      </w:r>
      <w:r>
        <w:rPr>
          <w:szCs w:val="24"/>
          <w:lang w:val="fr-FR"/>
        </w:rPr>
        <w:t>é</w:t>
      </w:r>
      <w:r>
        <w:rPr>
          <w:szCs w:val="24"/>
        </w:rPr>
        <w:t>koliv soudní rozhodnutí, kter</w:t>
      </w:r>
      <w:r>
        <w:rPr>
          <w:szCs w:val="24"/>
          <w:lang w:val="fr-FR"/>
        </w:rPr>
        <w:t xml:space="preserve">é </w:t>
      </w:r>
      <w:r>
        <w:rPr>
          <w:szCs w:val="24"/>
        </w:rPr>
        <w:t>je vydan</w:t>
      </w:r>
      <w:r>
        <w:rPr>
          <w:szCs w:val="24"/>
          <w:lang w:val="fr-FR"/>
        </w:rPr>
        <w:t xml:space="preserve">é </w:t>
      </w:r>
      <w:r>
        <w:rPr>
          <w:szCs w:val="24"/>
        </w:rPr>
        <w:t>v obč</w:t>
      </w:r>
      <w:r>
        <w:rPr>
          <w:szCs w:val="24"/>
          <w:lang w:val="da-DK"/>
        </w:rPr>
        <w:t>ansk</w:t>
      </w:r>
      <w:r>
        <w:rPr>
          <w:szCs w:val="24"/>
          <w:lang w:val="fr-FR"/>
        </w:rPr>
        <w:t>é</w:t>
      </w:r>
      <w:r>
        <w:rPr>
          <w:szCs w:val="24"/>
        </w:rPr>
        <w:t>m soudním řízení, je vykonateln</w:t>
      </w:r>
      <w:r>
        <w:rPr>
          <w:szCs w:val="24"/>
          <w:lang w:val="fr-FR"/>
        </w:rPr>
        <w:t xml:space="preserve">é </w:t>
      </w:r>
      <w:r>
        <w:rPr>
          <w:szCs w:val="24"/>
        </w:rPr>
        <w:t>a ukládá-li účastníkovi řízení urč</w:t>
      </w:r>
      <w:r>
        <w:rPr>
          <w:szCs w:val="24"/>
          <w:lang w:val="pt-PT"/>
        </w:rPr>
        <w:t>itou pr</w:t>
      </w:r>
      <w:r>
        <w:rPr>
          <w:szCs w:val="24"/>
        </w:rPr>
        <w:t>ávní povinnost. Exekuční titul, splňující zá</w:t>
      </w:r>
      <w:r>
        <w:rPr>
          <w:szCs w:val="24"/>
          <w:lang w:val="de-DE"/>
        </w:rPr>
        <w:t>konn</w:t>
      </w:r>
      <w:r>
        <w:rPr>
          <w:szCs w:val="24"/>
          <w:lang w:val="fr-FR"/>
        </w:rPr>
        <w:t xml:space="preserve">é </w:t>
      </w:r>
      <w:r>
        <w:rPr>
          <w:szCs w:val="24"/>
        </w:rPr>
        <w:t>předpoklady, vymezuje práva a povinnosti subjektů, který</w:t>
      </w:r>
      <w:r>
        <w:rPr>
          <w:szCs w:val="24"/>
          <w:lang w:val="de-DE"/>
        </w:rPr>
        <w:t>ch m</w:t>
      </w:r>
      <w:r>
        <w:rPr>
          <w:szCs w:val="24"/>
        </w:rPr>
        <w:t>á být výkonem rozhodnutí dosaž</w:t>
      </w:r>
      <w:r>
        <w:rPr>
          <w:szCs w:val="24"/>
          <w:lang w:val="it-IT"/>
        </w:rPr>
        <w:t>eno. V</w:t>
      </w:r>
      <w:r>
        <w:rPr>
          <w:szCs w:val="24"/>
        </w:rPr>
        <w:t xml:space="preserve">ýkon rozhodnutí má mimo rozhodnutí </w:t>
      </w:r>
      <w:r>
        <w:rPr>
          <w:szCs w:val="24"/>
          <w:lang w:val="en-US"/>
        </w:rPr>
        <w:t>o v</w:t>
      </w:r>
      <w:r>
        <w:rPr>
          <w:szCs w:val="24"/>
        </w:rPr>
        <w:t>ýchově dětí dva druhy plnění, peněžit</w:t>
      </w:r>
      <w:r>
        <w:rPr>
          <w:szCs w:val="24"/>
          <w:lang w:val="fr-FR"/>
        </w:rPr>
        <w:t xml:space="preserve">é </w:t>
      </w:r>
      <w:r>
        <w:rPr>
          <w:szCs w:val="24"/>
        </w:rPr>
        <w:t>a nepeněžit</w:t>
      </w:r>
      <w:r>
        <w:rPr>
          <w:szCs w:val="24"/>
          <w:lang w:val="fr-FR"/>
        </w:rPr>
        <w:t>é</w:t>
      </w:r>
      <w:r>
        <w:rPr>
          <w:szCs w:val="24"/>
        </w:rPr>
        <w:t>. V případě peněžit</w:t>
      </w:r>
      <w:r>
        <w:rPr>
          <w:szCs w:val="24"/>
          <w:lang w:val="fr-FR"/>
        </w:rPr>
        <w:t>é</w:t>
      </w:r>
      <w:r>
        <w:rPr>
          <w:szCs w:val="24"/>
        </w:rPr>
        <w:t>ho plnění je volba způsobu a předmět majetkov</w:t>
      </w:r>
      <w:r>
        <w:rPr>
          <w:szCs w:val="24"/>
          <w:lang w:val="fr-FR"/>
        </w:rPr>
        <w:t>é</w:t>
      </w:r>
      <w:r>
        <w:rPr>
          <w:szCs w:val="24"/>
        </w:rPr>
        <w:t>ho postihu na věřiteli a v případě nepeněžit</w:t>
      </w:r>
      <w:r>
        <w:rPr>
          <w:szCs w:val="24"/>
          <w:lang w:val="fr-FR"/>
        </w:rPr>
        <w:t>é</w:t>
      </w:r>
      <w:r>
        <w:rPr>
          <w:szCs w:val="24"/>
        </w:rPr>
        <w:t>ho plnění je jeho způ</w:t>
      </w:r>
      <w:r>
        <w:rPr>
          <w:szCs w:val="24"/>
          <w:lang w:val="pt-PT"/>
        </w:rPr>
        <w:t>sob p</w:t>
      </w:r>
      <w:r>
        <w:rPr>
          <w:szCs w:val="24"/>
        </w:rPr>
        <w:t>ř</w:t>
      </w:r>
      <w:r>
        <w:rPr>
          <w:szCs w:val="24"/>
          <w:lang w:val="nl-NL"/>
        </w:rPr>
        <w:t>edur</w:t>
      </w:r>
      <w:r>
        <w:rPr>
          <w:szCs w:val="24"/>
        </w:rPr>
        <w:t xml:space="preserve">čen právě obsahem </w:t>
      </w:r>
      <w:r>
        <w:rPr>
          <w:szCs w:val="24"/>
          <w:lang w:val="pt-PT"/>
        </w:rPr>
        <w:t>exeku</w:t>
      </w:r>
      <w:r>
        <w:rPr>
          <w:szCs w:val="24"/>
        </w:rPr>
        <w:t xml:space="preserve">čního titulu. </w:t>
      </w:r>
      <w:r>
        <w:rPr>
          <w:rFonts w:eastAsia="Times New Roman" w:cs="Times New Roman"/>
          <w:szCs w:val="24"/>
          <w:vertAlign w:val="superscript"/>
        </w:rPr>
        <w:footnoteReference w:id="66"/>
      </w:r>
    </w:p>
    <w:p w:rsidR="009B70FF" w:rsidRDefault="009B70FF" w:rsidP="007A2179">
      <w:pPr>
        <w:pStyle w:val="Nadpis3"/>
        <w:numPr>
          <w:ilvl w:val="2"/>
          <w:numId w:val="34"/>
        </w:numPr>
        <w:pBdr>
          <w:top w:val="nil"/>
          <w:left w:val="nil"/>
          <w:bottom w:val="nil"/>
          <w:right w:val="nil"/>
          <w:between w:val="nil"/>
          <w:bar w:val="nil"/>
        </w:pBdr>
        <w:spacing w:before="200"/>
        <w:jc w:val="left"/>
        <w:rPr>
          <w:rFonts w:eastAsia="Times New Roman" w:cs="Times New Roman"/>
          <w:color w:val="000000"/>
        </w:rPr>
      </w:pPr>
      <w:bookmarkStart w:id="61" w:name="_Toc20"/>
      <w:bookmarkStart w:id="62" w:name="_Toc18276735"/>
      <w:bookmarkStart w:id="63" w:name="_Toc18313955"/>
      <w:r>
        <w:rPr>
          <w:color w:val="000000"/>
          <w:u w:color="000000"/>
        </w:rPr>
        <w:t>Exekuční titul dle obč</w:t>
      </w:r>
      <w:r>
        <w:rPr>
          <w:color w:val="000000"/>
          <w:u w:color="000000"/>
          <w:lang w:val="da-DK"/>
        </w:rPr>
        <w:t>ansk</w:t>
      </w:r>
      <w:r>
        <w:rPr>
          <w:color w:val="000000"/>
          <w:u w:color="000000"/>
          <w:lang w:val="fr-FR"/>
        </w:rPr>
        <w:t>é</w:t>
      </w:r>
      <w:r>
        <w:rPr>
          <w:color w:val="000000"/>
          <w:u w:color="000000"/>
        </w:rPr>
        <w:t>ho soudního řádu</w:t>
      </w:r>
      <w:bookmarkEnd w:id="61"/>
      <w:bookmarkEnd w:id="62"/>
      <w:bookmarkEnd w:id="63"/>
    </w:p>
    <w:p w:rsidR="009B70FF" w:rsidRDefault="009B70FF" w:rsidP="009B70FF">
      <w:pPr>
        <w:spacing w:after="240"/>
        <w:rPr>
          <w:rFonts w:eastAsia="Times New Roman" w:cs="Times New Roman"/>
          <w:szCs w:val="24"/>
        </w:rPr>
      </w:pPr>
      <w:r>
        <w:rPr>
          <w:szCs w:val="24"/>
        </w:rPr>
        <w:tab/>
        <w:t>Exekučním titulem, v rámci exekuce soudní jsou podle § 274 zákona č. 99/1963 Sb., obč</w:t>
      </w:r>
      <w:r>
        <w:rPr>
          <w:szCs w:val="24"/>
          <w:lang w:val="da-DK"/>
        </w:rPr>
        <w:t>ansk</w:t>
      </w:r>
      <w:r>
        <w:rPr>
          <w:szCs w:val="24"/>
          <w:lang w:val="fr-FR"/>
        </w:rPr>
        <w:t>é</w:t>
      </w:r>
      <w:r>
        <w:rPr>
          <w:szCs w:val="24"/>
        </w:rPr>
        <w:t xml:space="preserve">ho soudního řádu: </w:t>
      </w:r>
    </w:p>
    <w:p w:rsidR="009B70FF" w:rsidRDefault="009B70FF" w:rsidP="009B70FF">
      <w:pPr>
        <w:spacing w:after="164"/>
        <w:rPr>
          <w:rFonts w:eastAsia="Times New Roman" w:cs="Times New Roman"/>
          <w:szCs w:val="24"/>
        </w:rPr>
      </w:pPr>
      <w:r>
        <w:rPr>
          <w:i/>
          <w:iCs/>
          <w:szCs w:val="24"/>
        </w:rPr>
        <w:t xml:space="preserve">a) „Vykonatelná rozhodnutí soudů a jiných orgánů činných v trestním řízení, pokud přiznají právo nebo postihují majetek, </w:t>
      </w:r>
    </w:p>
    <w:p w:rsidR="009B70FF" w:rsidRDefault="009B70FF" w:rsidP="009B70FF">
      <w:pPr>
        <w:spacing w:after="164"/>
        <w:rPr>
          <w:rFonts w:eastAsia="Times New Roman" w:cs="Times New Roman"/>
          <w:szCs w:val="24"/>
        </w:rPr>
      </w:pPr>
      <w:r>
        <w:rPr>
          <w:i/>
          <w:iCs/>
          <w:szCs w:val="24"/>
        </w:rPr>
        <w:t xml:space="preserve">b) Vykonatelná rozhodnutí soudů ve správním soudnictví, </w:t>
      </w:r>
    </w:p>
    <w:p w:rsidR="009B70FF" w:rsidRDefault="009B70FF" w:rsidP="009B70FF">
      <w:pPr>
        <w:spacing w:after="164"/>
        <w:rPr>
          <w:rFonts w:eastAsia="Times New Roman" w:cs="Times New Roman"/>
          <w:szCs w:val="24"/>
        </w:rPr>
      </w:pPr>
      <w:r>
        <w:rPr>
          <w:i/>
          <w:iCs/>
          <w:szCs w:val="24"/>
        </w:rPr>
        <w:t>c) Vykonatelná rozhodnutí rozhodčích komisí a smírů jimi schválený</w:t>
      </w:r>
      <w:r>
        <w:rPr>
          <w:i/>
          <w:iCs/>
          <w:szCs w:val="24"/>
          <w:lang w:val="de-DE"/>
        </w:rPr>
        <w:t xml:space="preserve">ch, </w:t>
      </w:r>
    </w:p>
    <w:p w:rsidR="009B70FF" w:rsidRDefault="009B70FF" w:rsidP="009B70FF">
      <w:pPr>
        <w:spacing w:after="164"/>
        <w:rPr>
          <w:rFonts w:eastAsia="Times New Roman" w:cs="Times New Roman"/>
          <w:szCs w:val="24"/>
        </w:rPr>
      </w:pPr>
      <w:r>
        <w:rPr>
          <w:i/>
          <w:iCs/>
          <w:szCs w:val="24"/>
        </w:rPr>
        <w:t>d) Vykonatelná rozhodnutí státní</w:t>
      </w:r>
      <w:r>
        <w:rPr>
          <w:i/>
          <w:iCs/>
          <w:szCs w:val="24"/>
          <w:lang w:val="de-DE"/>
        </w:rPr>
        <w:t>ch not</w:t>
      </w:r>
      <w:r>
        <w:rPr>
          <w:i/>
          <w:iCs/>
          <w:szCs w:val="24"/>
        </w:rPr>
        <w:t>ářství a dohod jimi schválený</w:t>
      </w:r>
      <w:r>
        <w:rPr>
          <w:i/>
          <w:iCs/>
          <w:szCs w:val="24"/>
          <w:lang w:val="de-DE"/>
        </w:rPr>
        <w:t xml:space="preserve">ch, </w:t>
      </w:r>
    </w:p>
    <w:p w:rsidR="009B70FF" w:rsidRDefault="009B70FF" w:rsidP="009B70FF">
      <w:pPr>
        <w:rPr>
          <w:rFonts w:eastAsia="Times New Roman" w:cs="Times New Roman"/>
          <w:i/>
          <w:iCs/>
          <w:szCs w:val="24"/>
        </w:rPr>
      </w:pPr>
      <w:r>
        <w:rPr>
          <w:i/>
          <w:iCs/>
          <w:szCs w:val="24"/>
        </w:rPr>
        <w:t>e) Notářsk</w:t>
      </w:r>
      <w:r>
        <w:rPr>
          <w:i/>
          <w:iCs/>
          <w:szCs w:val="24"/>
          <w:lang w:val="fr-FR"/>
        </w:rPr>
        <w:t xml:space="preserve">é </w:t>
      </w:r>
      <w:r>
        <w:rPr>
          <w:i/>
          <w:iCs/>
          <w:szCs w:val="24"/>
        </w:rPr>
        <w:t>zápisy se svolením k vykonatelnosti sepsané podle zvláštního zákona,</w:t>
      </w:r>
    </w:p>
    <w:p w:rsidR="009B70FF" w:rsidRDefault="009B70FF" w:rsidP="009B70FF">
      <w:pPr>
        <w:rPr>
          <w:rFonts w:eastAsia="Times New Roman" w:cs="Times New Roman"/>
          <w:i/>
          <w:iCs/>
          <w:szCs w:val="24"/>
        </w:rPr>
      </w:pPr>
      <w:r>
        <w:rPr>
          <w:i/>
          <w:iCs/>
          <w:szCs w:val="24"/>
        </w:rPr>
        <w:t>f) Vykonatelná rozhodnutí a jin</w:t>
      </w:r>
      <w:r>
        <w:rPr>
          <w:i/>
          <w:iCs/>
          <w:szCs w:val="24"/>
          <w:lang w:val="fr-FR"/>
        </w:rPr>
        <w:t xml:space="preserve">é </w:t>
      </w:r>
      <w:r>
        <w:rPr>
          <w:i/>
          <w:iCs/>
          <w:szCs w:val="24"/>
          <w:lang w:val="pt-PT"/>
        </w:rPr>
        <w:t>exeku</w:t>
      </w:r>
      <w:r>
        <w:rPr>
          <w:i/>
          <w:iCs/>
          <w:szCs w:val="24"/>
        </w:rPr>
        <w:t>ční tituly orgánů veřejn</w:t>
      </w:r>
      <w:r>
        <w:rPr>
          <w:i/>
          <w:iCs/>
          <w:szCs w:val="24"/>
          <w:lang w:val="fr-FR"/>
        </w:rPr>
        <w:t xml:space="preserve">é </w:t>
      </w:r>
      <w:r>
        <w:rPr>
          <w:i/>
          <w:iCs/>
          <w:szCs w:val="24"/>
        </w:rPr>
        <w:t xml:space="preserve">moci, </w:t>
      </w:r>
    </w:p>
    <w:p w:rsidR="009B70FF" w:rsidRDefault="009B70FF" w:rsidP="009B70FF">
      <w:pPr>
        <w:rPr>
          <w:rFonts w:eastAsia="Times New Roman" w:cs="Times New Roman"/>
          <w:i/>
          <w:iCs/>
          <w:szCs w:val="24"/>
        </w:rPr>
      </w:pPr>
      <w:r>
        <w:rPr>
          <w:i/>
          <w:iCs/>
          <w:szCs w:val="24"/>
        </w:rPr>
        <w:t xml:space="preserve">g) Rozhodnutí orgánů Evropských společenství, </w:t>
      </w:r>
    </w:p>
    <w:p w:rsidR="009B70FF" w:rsidRDefault="009B70FF" w:rsidP="009B70FF">
      <w:pPr>
        <w:spacing w:after="120"/>
        <w:rPr>
          <w:rFonts w:eastAsia="Times New Roman" w:cs="Times New Roman"/>
          <w:i/>
          <w:iCs/>
          <w:szCs w:val="24"/>
        </w:rPr>
      </w:pPr>
      <w:r>
        <w:rPr>
          <w:i/>
          <w:iCs/>
          <w:szCs w:val="24"/>
        </w:rPr>
        <w:t>h) Jiná vykonatelná rozhodnutí, schválen</w:t>
      </w:r>
      <w:r>
        <w:rPr>
          <w:i/>
          <w:iCs/>
          <w:szCs w:val="24"/>
          <w:lang w:val="fr-FR"/>
        </w:rPr>
        <w:t xml:space="preserve">é </w:t>
      </w:r>
      <w:r>
        <w:rPr>
          <w:i/>
          <w:iCs/>
          <w:szCs w:val="24"/>
        </w:rPr>
        <w:t>smíry a listiny, jejichž soudní výkon př</w:t>
      </w:r>
      <w:r>
        <w:rPr>
          <w:i/>
          <w:iCs/>
          <w:szCs w:val="24"/>
          <w:lang w:val="fr-FR"/>
        </w:rPr>
        <w:t>ipou</w:t>
      </w:r>
      <w:r>
        <w:rPr>
          <w:i/>
          <w:iCs/>
          <w:szCs w:val="24"/>
        </w:rPr>
        <w:t xml:space="preserve">ští zákon.“ </w:t>
      </w:r>
    </w:p>
    <w:p w:rsidR="009B70FF" w:rsidRDefault="009B70FF" w:rsidP="009B70FF">
      <w:pPr>
        <w:spacing w:after="120"/>
        <w:ind w:firstLine="708"/>
        <w:rPr>
          <w:rFonts w:eastAsia="Times New Roman" w:cs="Times New Roman"/>
          <w:szCs w:val="24"/>
        </w:rPr>
      </w:pPr>
      <w:r>
        <w:rPr>
          <w:szCs w:val="24"/>
        </w:rPr>
        <w:t>V rámci exekuce soudní neboli výkonu rozhodnutí je možn</w:t>
      </w:r>
      <w:r>
        <w:rPr>
          <w:szCs w:val="24"/>
          <w:lang w:val="fr-FR"/>
        </w:rPr>
        <w:t xml:space="preserve">é </w:t>
      </w:r>
      <w:r>
        <w:rPr>
          <w:szCs w:val="24"/>
        </w:rPr>
        <w:t>vykonat všechna rozhodnutí či jin</w:t>
      </w:r>
      <w:r>
        <w:rPr>
          <w:szCs w:val="24"/>
          <w:lang w:val="fr-FR"/>
        </w:rPr>
        <w:t xml:space="preserve">é </w:t>
      </w:r>
      <w:r>
        <w:rPr>
          <w:szCs w:val="24"/>
        </w:rPr>
        <w:t>listiny, kter</w:t>
      </w:r>
      <w:r>
        <w:rPr>
          <w:szCs w:val="24"/>
          <w:lang w:val="fr-FR"/>
        </w:rPr>
        <w:t xml:space="preserve">é </w:t>
      </w:r>
      <w:r>
        <w:rPr>
          <w:szCs w:val="24"/>
        </w:rPr>
        <w:t>jsou podle zá</w:t>
      </w:r>
      <w:r>
        <w:rPr>
          <w:szCs w:val="24"/>
          <w:lang w:val="pt-PT"/>
        </w:rPr>
        <w:t>kona exeku</w:t>
      </w:r>
      <w:r>
        <w:rPr>
          <w:szCs w:val="24"/>
        </w:rPr>
        <w:t xml:space="preserve">čním titulem. Výjimku tvoří </w:t>
      </w:r>
      <w:r>
        <w:rPr>
          <w:szCs w:val="24"/>
          <w:lang w:val="pt-PT"/>
        </w:rPr>
        <w:t>exeku</w:t>
      </w:r>
      <w:r>
        <w:rPr>
          <w:szCs w:val="24"/>
        </w:rPr>
        <w:t>ční tituly vykoná</w:t>
      </w:r>
      <w:r>
        <w:rPr>
          <w:szCs w:val="24"/>
          <w:lang w:val="nl-NL"/>
        </w:rPr>
        <w:t>van</w:t>
      </w:r>
      <w:r>
        <w:rPr>
          <w:szCs w:val="24"/>
          <w:lang w:val="fr-FR"/>
        </w:rPr>
        <w:t xml:space="preserve">é </w:t>
      </w:r>
      <w:r>
        <w:rPr>
          <w:szCs w:val="24"/>
        </w:rPr>
        <w:t>ve správní</w:t>
      </w:r>
      <w:r>
        <w:rPr>
          <w:szCs w:val="24"/>
          <w:lang w:val="pt-PT"/>
        </w:rPr>
        <w:t>m a da</w:t>
      </w:r>
      <w:r>
        <w:rPr>
          <w:szCs w:val="24"/>
        </w:rPr>
        <w:t>ňov</w:t>
      </w:r>
      <w:r>
        <w:rPr>
          <w:szCs w:val="24"/>
          <w:lang w:val="fr-FR"/>
        </w:rPr>
        <w:t>é</w:t>
      </w:r>
      <w:r>
        <w:rPr>
          <w:szCs w:val="24"/>
        </w:rPr>
        <w:t>m řízení. V </w:t>
      </w:r>
      <w:r>
        <w:rPr>
          <w:szCs w:val="24"/>
          <w:lang w:val="pt-PT"/>
        </w:rPr>
        <w:t>exeku</w:t>
      </w:r>
      <w:r>
        <w:rPr>
          <w:szCs w:val="24"/>
        </w:rPr>
        <w:t>čním řízení prováděn</w:t>
      </w:r>
      <w:r>
        <w:rPr>
          <w:szCs w:val="24"/>
          <w:lang w:val="fr-FR"/>
        </w:rPr>
        <w:t>é</w:t>
      </w:r>
      <w:r>
        <w:rPr>
          <w:szCs w:val="24"/>
        </w:rPr>
        <w:t>m soudním exekutorem na základě soudu lze vykonat i exekuční tituly, vykonateln</w:t>
      </w:r>
      <w:r>
        <w:rPr>
          <w:szCs w:val="24"/>
          <w:lang w:val="fr-FR"/>
        </w:rPr>
        <w:t xml:space="preserve">é </w:t>
      </w:r>
      <w:r>
        <w:rPr>
          <w:szCs w:val="24"/>
        </w:rPr>
        <w:t xml:space="preserve">podle SŘ </w:t>
      </w:r>
      <w:r>
        <w:rPr>
          <w:szCs w:val="24"/>
          <w:lang w:val="it-IT"/>
        </w:rPr>
        <w:t>a D</w:t>
      </w:r>
      <w:r>
        <w:rPr>
          <w:szCs w:val="24"/>
        </w:rPr>
        <w:t>Ř.</w:t>
      </w:r>
      <w:r>
        <w:rPr>
          <w:rFonts w:eastAsia="Times New Roman" w:cs="Times New Roman"/>
          <w:szCs w:val="24"/>
          <w:vertAlign w:val="superscript"/>
        </w:rPr>
        <w:footnoteReference w:id="67"/>
      </w:r>
    </w:p>
    <w:p w:rsidR="009B70FF" w:rsidRDefault="009B70FF" w:rsidP="009B70FF">
      <w:pPr>
        <w:ind w:firstLine="708"/>
        <w:rPr>
          <w:rFonts w:eastAsia="Times New Roman" w:cs="Times New Roman"/>
          <w:szCs w:val="24"/>
        </w:rPr>
      </w:pPr>
      <w:r>
        <w:rPr>
          <w:szCs w:val="24"/>
        </w:rPr>
        <w:t xml:space="preserve">Nařízení výkonu rozhodnutí na základě </w:t>
      </w:r>
      <w:r>
        <w:rPr>
          <w:szCs w:val="24"/>
          <w:lang w:val="pt-PT"/>
        </w:rPr>
        <w:t>exeku</w:t>
      </w:r>
      <w:r>
        <w:rPr>
          <w:szCs w:val="24"/>
        </w:rPr>
        <w:t>ční titulu, který byl vydá</w:t>
      </w:r>
      <w:r>
        <w:rPr>
          <w:szCs w:val="24"/>
          <w:lang w:val="de-DE"/>
        </w:rPr>
        <w:t>n v</w:t>
      </w:r>
      <w:r>
        <w:rPr>
          <w:szCs w:val="24"/>
        </w:rPr>
        <w:t> trestním řízení lze pouze za předpokladu, že přiznávají právo majetkov</w:t>
      </w:r>
      <w:r>
        <w:rPr>
          <w:szCs w:val="24"/>
          <w:lang w:val="fr-FR"/>
        </w:rPr>
        <w:t xml:space="preserve">é </w:t>
      </w:r>
      <w:r>
        <w:rPr>
          <w:szCs w:val="24"/>
        </w:rPr>
        <w:t>povahy a rozhodnutí nelze vykonat podle DŘ. Podkladem pro výkon rozhodnutí mohou být rozhodnutí soudů ve správním soudnictví tehdy, jestliže jimi byla uložena povinnost k plnění, s výjimkou rozhodnutí vykonaných podle DŘ. Pro soudní výkon rozhodnutí mohou bý</w:t>
      </w:r>
      <w:r>
        <w:rPr>
          <w:szCs w:val="24"/>
          <w:lang w:val="en-US"/>
        </w:rPr>
        <w:t>t exeku</w:t>
      </w:r>
      <w:r>
        <w:rPr>
          <w:szCs w:val="24"/>
        </w:rPr>
        <w:t>čním titulem i rozhodnutí učiněná rozhodčími komisemi v pracovních sporech vydaná do 31. 1. 1991 podle zákoníku práce z roku 1965. Titulem mohou být i rozhodnutí a dohody vydan</w:t>
      </w:r>
      <w:r>
        <w:rPr>
          <w:szCs w:val="24"/>
          <w:lang w:val="fr-FR"/>
        </w:rPr>
        <w:t xml:space="preserve">é </w:t>
      </w:r>
      <w:r>
        <w:rPr>
          <w:szCs w:val="24"/>
        </w:rPr>
        <w:t>v dědick</w:t>
      </w:r>
      <w:r>
        <w:rPr>
          <w:szCs w:val="24"/>
          <w:lang w:val="fr-FR"/>
        </w:rPr>
        <w:t>é</w:t>
      </w:r>
      <w:r>
        <w:rPr>
          <w:szCs w:val="24"/>
        </w:rPr>
        <w:t>m řízení státní</w:t>
      </w:r>
      <w:r>
        <w:rPr>
          <w:szCs w:val="24"/>
          <w:lang w:val="en-US"/>
        </w:rPr>
        <w:t>m not</w:t>
      </w:r>
      <w:r>
        <w:rPr>
          <w:szCs w:val="24"/>
        </w:rPr>
        <w:t>ářstvím, která sice k 31. 12. 1992 zanikla, nicm</w:t>
      </w:r>
      <w:r>
        <w:rPr>
          <w:szCs w:val="24"/>
          <w:lang w:val="fr-FR"/>
        </w:rPr>
        <w:t>é</w:t>
      </w:r>
      <w:r>
        <w:rPr>
          <w:szCs w:val="24"/>
        </w:rPr>
        <w:t xml:space="preserve">ně jejich rozhodnutí jsou stále tituly. </w:t>
      </w:r>
      <w:r>
        <w:rPr>
          <w:rFonts w:eastAsia="Times New Roman" w:cs="Times New Roman"/>
          <w:szCs w:val="24"/>
          <w:vertAlign w:val="superscript"/>
        </w:rPr>
        <w:footnoteReference w:id="68"/>
      </w:r>
    </w:p>
    <w:p w:rsidR="009B70FF" w:rsidRDefault="009B70FF" w:rsidP="009B70FF">
      <w:pPr>
        <w:rPr>
          <w:rFonts w:eastAsia="Times New Roman" w:cs="Times New Roman"/>
          <w:szCs w:val="24"/>
        </w:rPr>
      </w:pPr>
      <w:r>
        <w:rPr>
          <w:rFonts w:eastAsia="Times New Roman" w:cs="Times New Roman"/>
          <w:szCs w:val="24"/>
          <w:lang w:val="en-US"/>
        </w:rPr>
        <w:tab/>
        <w:t>Not</w:t>
      </w:r>
      <w:r>
        <w:rPr>
          <w:szCs w:val="24"/>
        </w:rPr>
        <w:t>ářsk</w:t>
      </w:r>
      <w:r>
        <w:rPr>
          <w:szCs w:val="24"/>
          <w:lang w:val="fr-FR"/>
        </w:rPr>
        <w:t xml:space="preserve">é </w:t>
      </w:r>
      <w:r>
        <w:rPr>
          <w:szCs w:val="24"/>
        </w:rPr>
        <w:t>zápisy vydan</w:t>
      </w:r>
      <w:r>
        <w:rPr>
          <w:szCs w:val="24"/>
          <w:lang w:val="fr-FR"/>
        </w:rPr>
        <w:t xml:space="preserve">é </w:t>
      </w:r>
      <w:r>
        <w:rPr>
          <w:szCs w:val="24"/>
        </w:rPr>
        <w:t>podle NotŘ mohou bý</w:t>
      </w:r>
      <w:r>
        <w:rPr>
          <w:szCs w:val="24"/>
          <w:lang w:val="en-US"/>
        </w:rPr>
        <w:t>t tak</w:t>
      </w:r>
      <w:r>
        <w:rPr>
          <w:szCs w:val="24"/>
          <w:lang w:val="fr-FR"/>
        </w:rPr>
        <w:t xml:space="preserve">é </w:t>
      </w:r>
      <w:r>
        <w:rPr>
          <w:szCs w:val="24"/>
          <w:lang w:val="pt-PT"/>
        </w:rPr>
        <w:t>exeku</w:t>
      </w:r>
      <w:r>
        <w:rPr>
          <w:szCs w:val="24"/>
        </w:rPr>
        <w:t>čním titulem. Obsahem může být např. jednostranný závazek účastníka k plnění vůči druh</w:t>
      </w:r>
      <w:r>
        <w:rPr>
          <w:szCs w:val="24"/>
          <w:lang w:val="fr-FR"/>
        </w:rPr>
        <w:t>é</w:t>
      </w:r>
      <w:r>
        <w:rPr>
          <w:szCs w:val="24"/>
        </w:rPr>
        <w:t>mu. Co se týč</w:t>
      </w:r>
      <w:r>
        <w:rPr>
          <w:szCs w:val="24"/>
          <w:lang w:val="it-IT"/>
        </w:rPr>
        <w:t>e materi</w:t>
      </w:r>
      <w:r>
        <w:rPr>
          <w:szCs w:val="24"/>
        </w:rPr>
        <w:t>ální vykonatelnosti notářsk</w:t>
      </w:r>
      <w:r>
        <w:rPr>
          <w:szCs w:val="24"/>
          <w:lang w:val="fr-FR"/>
        </w:rPr>
        <w:t>é</w:t>
      </w:r>
      <w:r>
        <w:rPr>
          <w:szCs w:val="24"/>
        </w:rPr>
        <w:t xml:space="preserve">ho zápisu, musí obsahovat identifikaci pohledávky, právní důvod, dobu jeho plnění a označení </w:t>
      </w:r>
      <w:r>
        <w:rPr>
          <w:szCs w:val="24"/>
          <w:lang w:val="it-IT"/>
        </w:rPr>
        <w:t>opr</w:t>
      </w:r>
      <w:r>
        <w:rPr>
          <w:szCs w:val="24"/>
        </w:rPr>
        <w:t>ávněn</w:t>
      </w:r>
      <w:r>
        <w:rPr>
          <w:szCs w:val="24"/>
          <w:lang w:val="fr-FR"/>
        </w:rPr>
        <w:t>é</w:t>
      </w:r>
      <w:r>
        <w:rPr>
          <w:szCs w:val="24"/>
          <w:lang w:val="it-IT"/>
        </w:rPr>
        <w:t>ho. Exeku</w:t>
      </w:r>
      <w:r>
        <w:rPr>
          <w:szCs w:val="24"/>
        </w:rPr>
        <w:t>čními tituly jsou výše uvedena vykonatelná rozhodnutí a jin</w:t>
      </w:r>
      <w:r>
        <w:rPr>
          <w:szCs w:val="24"/>
          <w:lang w:val="fr-FR"/>
        </w:rPr>
        <w:t xml:space="preserve">é </w:t>
      </w:r>
      <w:r>
        <w:rPr>
          <w:szCs w:val="24"/>
          <w:lang w:val="pt-PT"/>
        </w:rPr>
        <w:t>exeku</w:t>
      </w:r>
      <w:r>
        <w:rPr>
          <w:szCs w:val="24"/>
        </w:rPr>
        <w:t>ční tituly orgánů veřejn</w:t>
      </w:r>
      <w:r>
        <w:rPr>
          <w:szCs w:val="24"/>
          <w:lang w:val="fr-FR"/>
        </w:rPr>
        <w:t xml:space="preserve">é </w:t>
      </w:r>
      <w:r>
        <w:rPr>
          <w:szCs w:val="24"/>
        </w:rPr>
        <w:t>moci. Toto se týká jen těch titulů, jež nejsou vydány ve správním nebo daňov</w:t>
      </w:r>
      <w:r>
        <w:rPr>
          <w:szCs w:val="24"/>
          <w:lang w:val="fr-FR"/>
        </w:rPr>
        <w:t>é</w:t>
      </w:r>
      <w:r>
        <w:rPr>
          <w:szCs w:val="24"/>
        </w:rPr>
        <w:t>m řízení, v rámci jichž se nevykonávají.</w:t>
      </w:r>
      <w:r w:rsidR="00BF6AD2">
        <w:rPr>
          <w:rStyle w:val="Znakapoznpodarou"/>
          <w:szCs w:val="24"/>
        </w:rPr>
        <w:footnoteReference w:id="69"/>
      </w:r>
      <w:r>
        <w:rPr>
          <w:szCs w:val="24"/>
        </w:rPr>
        <w:t xml:space="preserve">  </w:t>
      </w:r>
    </w:p>
    <w:p w:rsidR="009B70FF" w:rsidRDefault="009B70FF" w:rsidP="009B70FF">
      <w:pPr>
        <w:rPr>
          <w:rFonts w:eastAsia="Times New Roman" w:cs="Times New Roman"/>
          <w:szCs w:val="24"/>
        </w:rPr>
      </w:pPr>
      <w:r>
        <w:rPr>
          <w:rFonts w:eastAsia="Times New Roman" w:cs="Times New Roman"/>
          <w:szCs w:val="24"/>
        </w:rPr>
        <w:tab/>
        <w:t>Pro v</w:t>
      </w:r>
      <w:r>
        <w:rPr>
          <w:szCs w:val="24"/>
        </w:rPr>
        <w:t>ýkon rozhodnutí mohou bý</w:t>
      </w:r>
      <w:r>
        <w:rPr>
          <w:szCs w:val="24"/>
          <w:lang w:val="en-US"/>
        </w:rPr>
        <w:t>t exeku</w:t>
      </w:r>
      <w:r>
        <w:rPr>
          <w:szCs w:val="24"/>
        </w:rPr>
        <w:t>čním titulem rozhodnutí Rady, Komise nebo Evropsk</w:t>
      </w:r>
      <w:r>
        <w:rPr>
          <w:szCs w:val="24"/>
          <w:lang w:val="fr-FR"/>
        </w:rPr>
        <w:t>é</w:t>
      </w:r>
      <w:r>
        <w:rPr>
          <w:szCs w:val="24"/>
        </w:rPr>
        <w:t>ho soudního dvora, jestliže se jimi ukládá peněžit</w:t>
      </w:r>
      <w:r>
        <w:rPr>
          <w:szCs w:val="24"/>
          <w:lang w:val="fr-FR"/>
        </w:rPr>
        <w:t xml:space="preserve">é </w:t>
      </w:r>
      <w:r>
        <w:rPr>
          <w:szCs w:val="24"/>
        </w:rPr>
        <w:t xml:space="preserve">plnění jiným osobám než státu. </w:t>
      </w:r>
    </w:p>
    <w:p w:rsidR="009B70FF" w:rsidRDefault="009B70FF" w:rsidP="009B70FF">
      <w:pPr>
        <w:rPr>
          <w:rFonts w:eastAsia="Times New Roman" w:cs="Times New Roman"/>
          <w:szCs w:val="24"/>
        </w:rPr>
      </w:pPr>
      <w:r>
        <w:rPr>
          <w:rFonts w:eastAsia="Times New Roman" w:cs="Times New Roman"/>
          <w:szCs w:val="24"/>
        </w:rPr>
        <w:tab/>
        <w:t>Jin</w:t>
      </w:r>
      <w:r>
        <w:rPr>
          <w:szCs w:val="24"/>
        </w:rPr>
        <w:t>ými exekučními tituly, kter</w:t>
      </w:r>
      <w:r>
        <w:rPr>
          <w:szCs w:val="24"/>
          <w:lang w:val="fr-FR"/>
        </w:rPr>
        <w:t xml:space="preserve">é </w:t>
      </w:r>
      <w:r>
        <w:rPr>
          <w:szCs w:val="24"/>
        </w:rPr>
        <w:t>nejsou vykoná</w:t>
      </w:r>
      <w:r>
        <w:rPr>
          <w:szCs w:val="24"/>
          <w:lang w:val="nl-NL"/>
        </w:rPr>
        <w:t>van</w:t>
      </w:r>
      <w:r>
        <w:rPr>
          <w:szCs w:val="24"/>
          <w:lang w:val="fr-FR"/>
        </w:rPr>
        <w:t xml:space="preserve">é </w:t>
      </w:r>
      <w:r>
        <w:rPr>
          <w:szCs w:val="24"/>
        </w:rPr>
        <w:t>podle SŘ či DŘ jsou:</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rozhodčí nálezy, kter</w:t>
      </w:r>
      <w:r>
        <w:rPr>
          <w:szCs w:val="24"/>
          <w:lang w:val="fr-FR"/>
        </w:rPr>
        <w:t xml:space="preserve">é </w:t>
      </w:r>
      <w:r>
        <w:rPr>
          <w:szCs w:val="24"/>
        </w:rPr>
        <w:t>vydávají rozhodci nebo stál</w:t>
      </w:r>
      <w:r>
        <w:rPr>
          <w:szCs w:val="24"/>
          <w:lang w:val="fr-FR"/>
        </w:rPr>
        <w:t xml:space="preserve">é </w:t>
      </w:r>
      <w:r>
        <w:rPr>
          <w:szCs w:val="24"/>
        </w:rPr>
        <w:t xml:space="preserve">rozhodčí soudy podle zákona č. 216/1994 Sb., o rozhodčím řízení </w:t>
      </w:r>
      <w:r>
        <w:rPr>
          <w:szCs w:val="24"/>
          <w:lang w:val="pt-PT"/>
        </w:rPr>
        <w:t>a o v</w:t>
      </w:r>
      <w:r>
        <w:rPr>
          <w:szCs w:val="24"/>
        </w:rPr>
        <w:t>ýkonu rozhodčí</w:t>
      </w:r>
      <w:r>
        <w:rPr>
          <w:szCs w:val="24"/>
          <w:lang w:val="de-DE"/>
        </w:rPr>
        <w:t>ch n</w:t>
      </w:r>
      <w:r>
        <w:rPr>
          <w:szCs w:val="24"/>
        </w:rPr>
        <w:t>álezů,</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 xml:space="preserve">rozhodnutí soudů cizích států a rozhodnutí úřadů cizích států </w:t>
      </w:r>
      <w:r>
        <w:rPr>
          <w:szCs w:val="24"/>
          <w:lang w:val="pt-PT"/>
        </w:rPr>
        <w:t>o pr</w:t>
      </w:r>
      <w:r>
        <w:rPr>
          <w:szCs w:val="24"/>
        </w:rPr>
        <w:t>ávech a povinnostech,</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rozhodnutí orgánů samosprávných stavovských organizací (př. ČAK, EKČ</w:t>
      </w:r>
      <w:r>
        <w:rPr>
          <w:szCs w:val="24"/>
          <w:lang w:val="de-DE"/>
        </w:rPr>
        <w:t xml:space="preserve">R, </w:t>
      </w:r>
      <w:r>
        <w:rPr>
          <w:szCs w:val="24"/>
        </w:rPr>
        <w:t>Česká l</w:t>
      </w:r>
      <w:r>
        <w:rPr>
          <w:szCs w:val="24"/>
          <w:lang w:val="fr-FR"/>
        </w:rPr>
        <w:t>é</w:t>
      </w:r>
      <w:r>
        <w:rPr>
          <w:szCs w:val="24"/>
        </w:rPr>
        <w:t>kařská komora, atd.),</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exekutorsk</w:t>
      </w:r>
      <w:r>
        <w:rPr>
          <w:szCs w:val="24"/>
          <w:lang w:val="fr-FR"/>
        </w:rPr>
        <w:t xml:space="preserve">é </w:t>
      </w:r>
      <w:r>
        <w:rPr>
          <w:szCs w:val="24"/>
        </w:rPr>
        <w:t>zápisy se svolením k vykonatelnosti, kter</w:t>
      </w:r>
      <w:r>
        <w:rPr>
          <w:szCs w:val="24"/>
          <w:lang w:val="fr-FR"/>
        </w:rPr>
        <w:t xml:space="preserve">é </w:t>
      </w:r>
      <w:r>
        <w:rPr>
          <w:szCs w:val="24"/>
        </w:rPr>
        <w:t>jsou vydan</w:t>
      </w:r>
      <w:r>
        <w:rPr>
          <w:szCs w:val="24"/>
          <w:lang w:val="fr-FR"/>
        </w:rPr>
        <w:t xml:space="preserve">é </w:t>
      </w:r>
      <w:r>
        <w:rPr>
          <w:szCs w:val="24"/>
        </w:rPr>
        <w:t>podle § 78 a §79 EŘ,</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 xml:space="preserve">seznam přihlášek vyhotovený </w:t>
      </w:r>
      <w:r>
        <w:rPr>
          <w:szCs w:val="24"/>
          <w:lang w:val="de-DE"/>
        </w:rPr>
        <w:t>spr</w:t>
      </w:r>
      <w:r>
        <w:rPr>
          <w:szCs w:val="24"/>
        </w:rPr>
        <w:t xml:space="preserve">ávcem konkursní podstaty, </w:t>
      </w:r>
    </w:p>
    <w:p w:rsidR="009B70FF" w:rsidRDefault="009B70FF" w:rsidP="007A2179">
      <w:pPr>
        <w:pStyle w:val="Odstavecseseznamem"/>
        <w:numPr>
          <w:ilvl w:val="0"/>
          <w:numId w:val="11"/>
        </w:numPr>
        <w:pBdr>
          <w:top w:val="nil"/>
          <w:left w:val="nil"/>
          <w:bottom w:val="nil"/>
          <w:right w:val="nil"/>
          <w:between w:val="nil"/>
          <w:bar w:val="nil"/>
        </w:pBdr>
        <w:spacing w:before="0" w:after="120"/>
        <w:ind w:left="714" w:hanging="357"/>
        <w:contextualSpacing w:val="0"/>
        <w:rPr>
          <w:szCs w:val="24"/>
        </w:rPr>
      </w:pPr>
      <w:r>
        <w:rPr>
          <w:szCs w:val="24"/>
        </w:rPr>
        <w:t>rozhodnutí orgánů ve služebních nebo obdobných vztazích (př. podle zákona č. 361/2003 Sb., o služebním poměru příslušníků bezpečnostních sborů).</w:t>
      </w:r>
      <w:r w:rsidR="00BF6AD2">
        <w:rPr>
          <w:rStyle w:val="Znakapoznpodarou"/>
          <w:szCs w:val="24"/>
        </w:rPr>
        <w:footnoteReference w:id="70"/>
      </w:r>
    </w:p>
    <w:p w:rsidR="009B70FF" w:rsidRPr="00CD4482" w:rsidRDefault="009B70FF" w:rsidP="007A2179">
      <w:pPr>
        <w:pStyle w:val="Nadpis3"/>
        <w:numPr>
          <w:ilvl w:val="2"/>
          <w:numId w:val="34"/>
        </w:numPr>
        <w:pBdr>
          <w:top w:val="nil"/>
          <w:left w:val="nil"/>
          <w:bottom w:val="nil"/>
          <w:right w:val="nil"/>
          <w:between w:val="nil"/>
          <w:bar w:val="nil"/>
        </w:pBdr>
        <w:spacing w:before="200" w:line="276" w:lineRule="auto"/>
        <w:jc w:val="left"/>
        <w:rPr>
          <w:rFonts w:eastAsia="Times New Roman" w:cs="Times New Roman"/>
          <w:color w:val="000000"/>
          <w:szCs w:val="24"/>
        </w:rPr>
      </w:pPr>
      <w:bookmarkStart w:id="64" w:name="_Toc21"/>
      <w:bookmarkStart w:id="65" w:name="_Toc18276736"/>
      <w:bookmarkStart w:id="66" w:name="_Toc18313956"/>
      <w:r w:rsidRPr="00CD4482">
        <w:rPr>
          <w:color w:val="000000"/>
          <w:szCs w:val="24"/>
          <w:u w:color="000000"/>
        </w:rPr>
        <w:t>Exekuční titul dle exekučního řádu</w:t>
      </w:r>
      <w:bookmarkEnd w:id="64"/>
      <w:bookmarkEnd w:id="65"/>
      <w:bookmarkEnd w:id="66"/>
    </w:p>
    <w:p w:rsidR="009B70FF" w:rsidRDefault="009B70FF" w:rsidP="009B70FF">
      <w:pPr>
        <w:spacing w:after="240"/>
        <w:rPr>
          <w:rFonts w:eastAsia="Times New Roman" w:cs="Times New Roman"/>
          <w:szCs w:val="24"/>
        </w:rPr>
      </w:pPr>
      <w:r>
        <w:rPr>
          <w:szCs w:val="24"/>
        </w:rPr>
        <w:t>P</w:t>
      </w:r>
      <w:r w:rsidRPr="00CD4482">
        <w:rPr>
          <w:szCs w:val="24"/>
        </w:rPr>
        <w:t>odle</w:t>
      </w:r>
      <w:r>
        <w:rPr>
          <w:szCs w:val="24"/>
        </w:rPr>
        <w:t xml:space="preserve"> §40 zákona č</w:t>
      </w:r>
      <w:r>
        <w:rPr>
          <w:szCs w:val="24"/>
          <w:lang w:val="pt-PT"/>
        </w:rPr>
        <w:t>. 120/2001 Sb., exeku</w:t>
      </w:r>
      <w:r>
        <w:rPr>
          <w:szCs w:val="24"/>
        </w:rPr>
        <w:t xml:space="preserve">čního řádu jsou to: </w:t>
      </w:r>
    </w:p>
    <w:p w:rsidR="009B70FF" w:rsidRDefault="009B70FF" w:rsidP="009B70FF">
      <w:pPr>
        <w:spacing w:after="164"/>
        <w:rPr>
          <w:rFonts w:eastAsia="Times New Roman" w:cs="Times New Roman"/>
          <w:szCs w:val="24"/>
        </w:rPr>
      </w:pPr>
      <w:r>
        <w:rPr>
          <w:i/>
          <w:iCs/>
          <w:szCs w:val="24"/>
        </w:rPr>
        <w:t>a) „Vykonateln</w:t>
      </w:r>
      <w:r>
        <w:rPr>
          <w:i/>
          <w:iCs/>
          <w:szCs w:val="24"/>
          <w:lang w:val="fr-FR"/>
        </w:rPr>
        <w:t xml:space="preserve">é </w:t>
      </w:r>
      <w:r>
        <w:rPr>
          <w:i/>
          <w:iCs/>
          <w:szCs w:val="24"/>
        </w:rPr>
        <w:t xml:space="preserve">rozhodnutí soudu nebo exekutora, pokud přiznává právo, zavazuje k povinnosti nebo postihuje majetek, </w:t>
      </w:r>
    </w:p>
    <w:p w:rsidR="009B70FF" w:rsidRDefault="009B70FF" w:rsidP="009B70FF">
      <w:pPr>
        <w:spacing w:after="164"/>
        <w:rPr>
          <w:rFonts w:eastAsia="Times New Roman" w:cs="Times New Roman"/>
          <w:szCs w:val="24"/>
        </w:rPr>
      </w:pPr>
      <w:r>
        <w:rPr>
          <w:i/>
          <w:iCs/>
          <w:szCs w:val="24"/>
        </w:rPr>
        <w:t>b) Vykonateln</w:t>
      </w:r>
      <w:r>
        <w:rPr>
          <w:i/>
          <w:iCs/>
          <w:szCs w:val="24"/>
          <w:lang w:val="fr-FR"/>
        </w:rPr>
        <w:t xml:space="preserve">é </w:t>
      </w:r>
      <w:r>
        <w:rPr>
          <w:i/>
          <w:iCs/>
          <w:szCs w:val="24"/>
        </w:rPr>
        <w:t>rozhodnutí soudu a jin</w:t>
      </w:r>
      <w:r>
        <w:rPr>
          <w:i/>
          <w:iCs/>
          <w:szCs w:val="24"/>
          <w:lang w:val="fr-FR"/>
        </w:rPr>
        <w:t>é</w:t>
      </w:r>
      <w:r>
        <w:rPr>
          <w:i/>
          <w:iCs/>
          <w:szCs w:val="24"/>
        </w:rPr>
        <w:t>ho orgánu činn</w:t>
      </w:r>
      <w:r>
        <w:rPr>
          <w:i/>
          <w:iCs/>
          <w:szCs w:val="24"/>
          <w:lang w:val="fr-FR"/>
        </w:rPr>
        <w:t>é</w:t>
      </w:r>
      <w:r>
        <w:rPr>
          <w:i/>
          <w:iCs/>
          <w:szCs w:val="24"/>
        </w:rPr>
        <w:t xml:space="preserve">ho v trestním řízení, pokud přiznává právo nebo postihuje majetek, </w:t>
      </w:r>
    </w:p>
    <w:p w:rsidR="009B70FF" w:rsidRDefault="009B70FF" w:rsidP="009B70FF">
      <w:pPr>
        <w:spacing w:after="164"/>
        <w:rPr>
          <w:rFonts w:eastAsia="Times New Roman" w:cs="Times New Roman"/>
          <w:szCs w:val="24"/>
        </w:rPr>
      </w:pPr>
      <w:r>
        <w:rPr>
          <w:i/>
          <w:iCs/>
          <w:szCs w:val="24"/>
        </w:rPr>
        <w:t>c) Vykonatelný rozhodčí ná</w:t>
      </w:r>
      <w:r>
        <w:rPr>
          <w:i/>
          <w:iCs/>
          <w:szCs w:val="24"/>
          <w:lang w:val="es-ES_tradnl"/>
        </w:rPr>
        <w:t xml:space="preserve">lez, </w:t>
      </w:r>
    </w:p>
    <w:p w:rsidR="009B70FF" w:rsidRDefault="009B70FF" w:rsidP="009B70FF">
      <w:pPr>
        <w:spacing w:after="164"/>
        <w:rPr>
          <w:rFonts w:eastAsia="Times New Roman" w:cs="Times New Roman"/>
          <w:szCs w:val="24"/>
        </w:rPr>
      </w:pPr>
      <w:r>
        <w:rPr>
          <w:i/>
          <w:iCs/>
          <w:szCs w:val="24"/>
        </w:rPr>
        <w:t xml:space="preserve">d) Notářský zápis se svolením k vykonatelnosti sepsaný podle zvláštního právního předpisu, </w:t>
      </w:r>
    </w:p>
    <w:p w:rsidR="009B70FF" w:rsidRDefault="009B70FF" w:rsidP="009B70FF">
      <w:pPr>
        <w:spacing w:after="164"/>
        <w:rPr>
          <w:rFonts w:eastAsia="Times New Roman" w:cs="Times New Roman"/>
          <w:szCs w:val="24"/>
        </w:rPr>
      </w:pPr>
      <w:r>
        <w:rPr>
          <w:i/>
          <w:iCs/>
          <w:szCs w:val="24"/>
        </w:rPr>
        <w:t>e) Vykonateln</w:t>
      </w:r>
      <w:r>
        <w:rPr>
          <w:i/>
          <w:iCs/>
          <w:szCs w:val="24"/>
          <w:lang w:val="fr-FR"/>
        </w:rPr>
        <w:t xml:space="preserve">é </w:t>
      </w:r>
      <w:r>
        <w:rPr>
          <w:i/>
          <w:iCs/>
          <w:szCs w:val="24"/>
        </w:rPr>
        <w:t xml:space="preserve">rozhodnutí a jiný </w:t>
      </w:r>
      <w:r>
        <w:rPr>
          <w:i/>
          <w:iCs/>
          <w:szCs w:val="24"/>
          <w:lang w:val="pt-PT"/>
        </w:rPr>
        <w:t>exeku</w:t>
      </w:r>
      <w:r>
        <w:rPr>
          <w:i/>
          <w:iCs/>
          <w:szCs w:val="24"/>
        </w:rPr>
        <w:t>ční titul orgánu veřejn</w:t>
      </w:r>
      <w:r>
        <w:rPr>
          <w:i/>
          <w:iCs/>
          <w:szCs w:val="24"/>
          <w:lang w:val="fr-FR"/>
        </w:rPr>
        <w:t xml:space="preserve">é </w:t>
      </w:r>
      <w:r>
        <w:rPr>
          <w:i/>
          <w:iCs/>
          <w:szCs w:val="24"/>
        </w:rPr>
        <w:t xml:space="preserve">moci, </w:t>
      </w:r>
    </w:p>
    <w:p w:rsidR="009B70FF" w:rsidRPr="00CD4482" w:rsidRDefault="009B70FF" w:rsidP="009B70FF">
      <w:pPr>
        <w:rPr>
          <w:rFonts w:eastAsia="Times New Roman" w:cs="Times New Roman"/>
          <w:i/>
          <w:iCs/>
          <w:szCs w:val="24"/>
        </w:rPr>
      </w:pPr>
      <w:r>
        <w:rPr>
          <w:i/>
          <w:iCs/>
          <w:szCs w:val="24"/>
        </w:rPr>
        <w:t>f) Jiná vykonatelná rozhodnutí a schválen</w:t>
      </w:r>
      <w:r>
        <w:rPr>
          <w:i/>
          <w:iCs/>
          <w:szCs w:val="24"/>
          <w:lang w:val="fr-FR"/>
        </w:rPr>
        <w:t xml:space="preserve">é </w:t>
      </w:r>
      <w:r>
        <w:rPr>
          <w:i/>
          <w:iCs/>
          <w:szCs w:val="24"/>
        </w:rPr>
        <w:t>smíry a listiny, jejichž výkon př</w:t>
      </w:r>
      <w:r>
        <w:rPr>
          <w:i/>
          <w:iCs/>
          <w:szCs w:val="24"/>
          <w:lang w:val="fr-FR"/>
        </w:rPr>
        <w:t>ipou</w:t>
      </w:r>
      <w:r>
        <w:rPr>
          <w:i/>
          <w:iCs/>
          <w:szCs w:val="24"/>
        </w:rPr>
        <w:t xml:space="preserve">ští zákon.“ </w:t>
      </w:r>
    </w:p>
    <w:p w:rsidR="009B70FF" w:rsidRDefault="009B70FF" w:rsidP="009B70FF">
      <w:pPr>
        <w:ind w:firstLine="708"/>
        <w:rPr>
          <w:rFonts w:eastAsia="Times New Roman" w:cs="Times New Roman"/>
          <w:szCs w:val="24"/>
        </w:rPr>
      </w:pPr>
      <w:r>
        <w:rPr>
          <w:szCs w:val="24"/>
          <w:lang w:val="en-US"/>
        </w:rPr>
        <w:t>I p</w:t>
      </w:r>
      <w:r>
        <w:rPr>
          <w:szCs w:val="24"/>
        </w:rPr>
        <w:t>ř</w:t>
      </w:r>
      <w:r>
        <w:rPr>
          <w:szCs w:val="24"/>
          <w:lang w:val="it-IT"/>
        </w:rPr>
        <w:t xml:space="preserve">esto, </w:t>
      </w:r>
      <w:r>
        <w:rPr>
          <w:szCs w:val="24"/>
        </w:rPr>
        <w:t>že výše uveden</w:t>
      </w:r>
      <w:r>
        <w:rPr>
          <w:szCs w:val="24"/>
          <w:lang w:val="fr-FR"/>
        </w:rPr>
        <w:t xml:space="preserve">é </w:t>
      </w:r>
      <w:r>
        <w:rPr>
          <w:szCs w:val="24"/>
          <w:lang w:val="pt-PT"/>
        </w:rPr>
        <w:t>exeku</w:t>
      </w:r>
      <w:r>
        <w:rPr>
          <w:szCs w:val="24"/>
        </w:rPr>
        <w:t>ční tituly nejsou vzhledem k jednotlivým názvům totožné</w:t>
      </w:r>
      <w:r>
        <w:rPr>
          <w:szCs w:val="24"/>
          <w:lang w:val="fr-FR"/>
        </w:rPr>
        <w:t xml:space="preserve"> </w:t>
      </w:r>
      <w:r>
        <w:rPr>
          <w:szCs w:val="24"/>
        </w:rPr>
        <w:t>s tituly dle § 274 OSŘ, lze dovodit, že okruh exekučních titulů je pro exekuci a výkon rozhodnutí srovnatelný. K tomu, aby mohla být exekuce vykonána je nutn</w:t>
      </w:r>
      <w:r>
        <w:rPr>
          <w:szCs w:val="24"/>
          <w:lang w:val="fr-FR"/>
        </w:rPr>
        <w:t>é</w:t>
      </w:r>
      <w:r>
        <w:rPr>
          <w:szCs w:val="24"/>
        </w:rPr>
        <w:t>, aby vešker</w:t>
      </w:r>
      <w:r>
        <w:rPr>
          <w:szCs w:val="24"/>
          <w:lang w:val="fr-FR"/>
        </w:rPr>
        <w:t xml:space="preserve">é </w:t>
      </w:r>
      <w:r>
        <w:rPr>
          <w:szCs w:val="24"/>
          <w:lang w:val="pt-PT"/>
        </w:rPr>
        <w:t>exeku</w:t>
      </w:r>
      <w:r>
        <w:rPr>
          <w:szCs w:val="24"/>
        </w:rPr>
        <w:t>ční tituly splňovaly požadavky materiální a formální vykonatelnosti. To znamená, ž</w:t>
      </w:r>
      <w:r>
        <w:rPr>
          <w:szCs w:val="24"/>
          <w:lang w:val="pt-PT"/>
        </w:rPr>
        <w:t>e exeku</w:t>
      </w:r>
      <w:r>
        <w:rPr>
          <w:szCs w:val="24"/>
        </w:rPr>
        <w:t>ční titul obsahuje přesnou specifikaci osoby, která je z titulu oprávněná a osoby, která je povinná, dále obsahuje práva a povinnosti, které mají být vymoženy, rozsah vynucovan</w:t>
      </w:r>
      <w:r>
        <w:rPr>
          <w:szCs w:val="24"/>
          <w:lang w:val="fr-FR"/>
        </w:rPr>
        <w:t xml:space="preserve">é </w:t>
      </w:r>
      <w:r>
        <w:rPr>
          <w:szCs w:val="24"/>
        </w:rPr>
        <w:t>povinnosti a lhůty k plnění. Osoba oprávněná a povinná musí být v </w:t>
      </w:r>
      <w:r>
        <w:rPr>
          <w:szCs w:val="24"/>
          <w:lang w:val="pt-PT"/>
        </w:rPr>
        <w:t>exeku</w:t>
      </w:r>
      <w:r>
        <w:rPr>
          <w:szCs w:val="24"/>
        </w:rPr>
        <w:t>čním titulu jednoznačně určená, jinak by mohlo dojít k záměně. Jestliže je v </w:t>
      </w:r>
      <w:r>
        <w:rPr>
          <w:szCs w:val="24"/>
          <w:lang w:val="pt-PT"/>
        </w:rPr>
        <w:t>exeku</w:t>
      </w:r>
      <w:r>
        <w:rPr>
          <w:szCs w:val="24"/>
        </w:rPr>
        <w:t>čním titulu chyba v označení účastníků, nicm</w:t>
      </w:r>
      <w:r>
        <w:rPr>
          <w:szCs w:val="24"/>
          <w:lang w:val="fr-FR"/>
        </w:rPr>
        <w:t>é</w:t>
      </w:r>
      <w:r>
        <w:rPr>
          <w:szCs w:val="24"/>
        </w:rPr>
        <w:t>ně lze bez pochybností dovodit, komu svědčí prá</w:t>
      </w:r>
      <w:r>
        <w:rPr>
          <w:szCs w:val="24"/>
          <w:lang w:val="it-IT"/>
        </w:rPr>
        <w:t xml:space="preserve">vo </w:t>
      </w:r>
      <w:r>
        <w:rPr>
          <w:szCs w:val="24"/>
        </w:rPr>
        <w:t>či povinnost, nebrání to tak vykonatelnosti zápisu. V </w:t>
      </w:r>
      <w:r>
        <w:rPr>
          <w:szCs w:val="24"/>
          <w:lang w:val="pt-PT"/>
        </w:rPr>
        <w:t>exeku</w:t>
      </w:r>
      <w:r>
        <w:rPr>
          <w:szCs w:val="24"/>
        </w:rPr>
        <w:t xml:space="preserve">čním titulu musí být přesně a nezaměnitelně formulovaná </w:t>
      </w:r>
      <w:r>
        <w:rPr>
          <w:szCs w:val="24"/>
          <w:lang w:val="es-ES_tradnl"/>
        </w:rPr>
        <w:t>ulo</w:t>
      </w:r>
      <w:r>
        <w:rPr>
          <w:szCs w:val="24"/>
        </w:rPr>
        <w:t xml:space="preserve">žená povinnost, a to co do obsahu i rozsahu. </w:t>
      </w:r>
      <w:r>
        <w:rPr>
          <w:rFonts w:eastAsia="Times New Roman" w:cs="Times New Roman"/>
          <w:szCs w:val="24"/>
          <w:vertAlign w:val="superscript"/>
        </w:rPr>
        <w:footnoteReference w:id="71"/>
      </w:r>
    </w:p>
    <w:p w:rsidR="009B70FF" w:rsidRDefault="009B70FF" w:rsidP="009B70FF">
      <w:pPr>
        <w:rPr>
          <w:rFonts w:eastAsia="Times New Roman" w:cs="Times New Roman"/>
          <w:szCs w:val="24"/>
        </w:rPr>
      </w:pPr>
      <w:r>
        <w:rPr>
          <w:rFonts w:eastAsia="Times New Roman" w:cs="Times New Roman"/>
          <w:szCs w:val="24"/>
        </w:rPr>
        <w:tab/>
        <w:t>Jestli</w:t>
      </w:r>
      <w:r>
        <w:rPr>
          <w:szCs w:val="24"/>
        </w:rPr>
        <w:t xml:space="preserve">že se jedná </w:t>
      </w:r>
      <w:r>
        <w:rPr>
          <w:szCs w:val="24"/>
          <w:lang w:val="it-IT"/>
        </w:rPr>
        <w:t>o pen</w:t>
      </w:r>
      <w:r>
        <w:rPr>
          <w:szCs w:val="24"/>
        </w:rPr>
        <w:t>ěžit</w:t>
      </w:r>
      <w:r>
        <w:rPr>
          <w:szCs w:val="24"/>
          <w:lang w:val="fr-FR"/>
        </w:rPr>
        <w:t xml:space="preserve">é </w:t>
      </w:r>
      <w:r>
        <w:rPr>
          <w:szCs w:val="24"/>
        </w:rPr>
        <w:t>závazky, vzniká obecně probl</w:t>
      </w:r>
      <w:r>
        <w:rPr>
          <w:szCs w:val="24"/>
          <w:lang w:val="fr-FR"/>
        </w:rPr>
        <w:t>é</w:t>
      </w:r>
      <w:r>
        <w:rPr>
          <w:szCs w:val="24"/>
        </w:rPr>
        <w:t>m s </w:t>
      </w:r>
      <w:r>
        <w:rPr>
          <w:szCs w:val="24"/>
          <w:lang w:val="es-ES_tradnl"/>
        </w:rPr>
        <w:t>formulac</w:t>
      </w:r>
      <w:r>
        <w:rPr>
          <w:szCs w:val="24"/>
        </w:rPr>
        <w:t>í úroků pohledávky, smluvní pokuty či plnění ve splátkách. V těchto případech musí být jasně stanovená jejich výš</w:t>
      </w:r>
      <w:r>
        <w:rPr>
          <w:szCs w:val="24"/>
          <w:lang w:val="pt-PT"/>
        </w:rPr>
        <w:t>e, resp. mus</w:t>
      </w:r>
      <w:r>
        <w:rPr>
          <w:szCs w:val="24"/>
        </w:rPr>
        <w:t>í být v titulu zjevn</w:t>
      </w:r>
      <w:r>
        <w:rPr>
          <w:szCs w:val="24"/>
          <w:lang w:val="fr-FR"/>
        </w:rPr>
        <w:t>é</w:t>
      </w:r>
      <w:r>
        <w:rPr>
          <w:szCs w:val="24"/>
        </w:rPr>
        <w:t>, jak se vypočítají č</w:t>
      </w:r>
      <w:r>
        <w:rPr>
          <w:szCs w:val="24"/>
          <w:lang w:val="it-IT"/>
        </w:rPr>
        <w:t>i od kdy začíná běžet po</w:t>
      </w:r>
      <w:r>
        <w:rPr>
          <w:szCs w:val="24"/>
        </w:rPr>
        <w:t>čátek jejich plnění. U nepeněžitých závazků je obtížn</w:t>
      </w:r>
      <w:r>
        <w:rPr>
          <w:szCs w:val="24"/>
          <w:lang w:val="fr-FR"/>
        </w:rPr>
        <w:t xml:space="preserve">é </w:t>
      </w:r>
      <w:r>
        <w:rPr>
          <w:szCs w:val="24"/>
        </w:rPr>
        <w:t>typov</w:t>
      </w:r>
      <w:r>
        <w:rPr>
          <w:szCs w:val="24"/>
          <w:lang w:val="fr-FR"/>
        </w:rPr>
        <w:t xml:space="preserve">é </w:t>
      </w:r>
      <w:r>
        <w:rPr>
          <w:szCs w:val="24"/>
        </w:rPr>
        <w:t>vymezení, jelikož jsou vzájemná práva mezi účastníky rozmanitá a vykonatelnost je ovlivně</w:t>
      </w:r>
      <w:r>
        <w:rPr>
          <w:szCs w:val="24"/>
          <w:lang w:val="pt-PT"/>
        </w:rPr>
        <w:t>na formula</w:t>
      </w:r>
      <w:r>
        <w:rPr>
          <w:szCs w:val="24"/>
        </w:rPr>
        <w:t xml:space="preserve">čními dovednostmi osoby, jež </w:t>
      </w:r>
      <w:r>
        <w:rPr>
          <w:szCs w:val="24"/>
          <w:lang w:val="pt-PT"/>
        </w:rPr>
        <w:t>exeku</w:t>
      </w:r>
      <w:r>
        <w:rPr>
          <w:szCs w:val="24"/>
        </w:rPr>
        <w:t>ční titul vydává. Dále je tak</w:t>
      </w:r>
      <w:r>
        <w:rPr>
          <w:szCs w:val="24"/>
          <w:lang w:val="fr-FR"/>
        </w:rPr>
        <w:t xml:space="preserve">é </w:t>
      </w:r>
      <w:r>
        <w:rPr>
          <w:szCs w:val="24"/>
        </w:rPr>
        <w:t>v titulu nutn</w:t>
      </w:r>
      <w:r>
        <w:rPr>
          <w:szCs w:val="24"/>
          <w:lang w:val="fr-FR"/>
        </w:rPr>
        <w:t xml:space="preserve">é </w:t>
      </w:r>
      <w:r>
        <w:rPr>
          <w:szCs w:val="24"/>
        </w:rPr>
        <w:t>určit způsob vypořádání děliteln</w:t>
      </w:r>
      <w:r>
        <w:rPr>
          <w:szCs w:val="24"/>
          <w:lang w:val="fr-FR"/>
        </w:rPr>
        <w:t>é</w:t>
      </w:r>
      <w:r>
        <w:rPr>
          <w:szCs w:val="24"/>
        </w:rPr>
        <w:t xml:space="preserve">ho plnění mezi účastníky, a to v případě plurality subjektů na straně </w:t>
      </w:r>
      <w:r>
        <w:rPr>
          <w:szCs w:val="24"/>
          <w:lang w:val="it-IT"/>
        </w:rPr>
        <w:t>opr</w:t>
      </w:r>
      <w:r>
        <w:rPr>
          <w:szCs w:val="24"/>
        </w:rPr>
        <w:t>ávněn</w:t>
      </w:r>
      <w:r>
        <w:rPr>
          <w:szCs w:val="24"/>
          <w:lang w:val="fr-FR"/>
        </w:rPr>
        <w:t>é</w:t>
      </w:r>
      <w:r>
        <w:rPr>
          <w:szCs w:val="24"/>
        </w:rPr>
        <w:t>ho, ale i povinn</w:t>
      </w:r>
      <w:r>
        <w:rPr>
          <w:szCs w:val="24"/>
          <w:lang w:val="fr-FR"/>
        </w:rPr>
        <w:t>é</w:t>
      </w:r>
      <w:r>
        <w:rPr>
          <w:szCs w:val="24"/>
        </w:rPr>
        <w:t>ho, a to především pokud jsou povinni plnit nebo obdržet plnění v podílech č</w:t>
      </w:r>
      <w:r>
        <w:rPr>
          <w:szCs w:val="24"/>
          <w:lang w:val="it-IT"/>
        </w:rPr>
        <w:t>i solid</w:t>
      </w:r>
      <w:r>
        <w:rPr>
          <w:szCs w:val="24"/>
        </w:rPr>
        <w:t>árně. V </w:t>
      </w:r>
      <w:r>
        <w:rPr>
          <w:szCs w:val="24"/>
          <w:lang w:val="pt-PT"/>
        </w:rPr>
        <w:t>exeku</w:t>
      </w:r>
      <w:r>
        <w:rPr>
          <w:szCs w:val="24"/>
        </w:rPr>
        <w:t xml:space="preserve">čním titulu musí být jasně určená </w:t>
      </w:r>
      <w:r>
        <w:rPr>
          <w:szCs w:val="24"/>
          <w:lang w:val="pt-PT"/>
        </w:rPr>
        <w:t>lh</w:t>
      </w:r>
      <w:r>
        <w:rPr>
          <w:szCs w:val="24"/>
        </w:rPr>
        <w:t>ůta, ve kter</w:t>
      </w:r>
      <w:r>
        <w:rPr>
          <w:szCs w:val="24"/>
          <w:lang w:val="fr-FR"/>
        </w:rPr>
        <w:t xml:space="preserve">é </w:t>
      </w:r>
      <w:r>
        <w:rPr>
          <w:szCs w:val="24"/>
        </w:rPr>
        <w:t>má bý</w:t>
      </w:r>
      <w:r>
        <w:rPr>
          <w:szCs w:val="24"/>
          <w:lang w:val="sv-SE"/>
        </w:rPr>
        <w:t>t ur</w:t>
      </w:r>
      <w:r>
        <w:rPr>
          <w:szCs w:val="24"/>
        </w:rPr>
        <w:t>čitá povinnost splněna, a po její</w:t>
      </w:r>
      <w:r>
        <w:rPr>
          <w:szCs w:val="24"/>
          <w:lang w:val="sv-SE"/>
        </w:rPr>
        <w:t>mž marn</w:t>
      </w:r>
      <w:r>
        <w:rPr>
          <w:szCs w:val="24"/>
          <w:lang w:val="fr-FR"/>
        </w:rPr>
        <w:t>é</w:t>
      </w:r>
      <w:r>
        <w:rPr>
          <w:szCs w:val="24"/>
        </w:rPr>
        <w:t xml:space="preserve">m uplynutí se může oprávněný </w:t>
      </w:r>
      <w:r>
        <w:rPr>
          <w:szCs w:val="24"/>
          <w:lang w:val="es-ES_tradnl"/>
        </w:rPr>
        <w:t>obr</w:t>
      </w:r>
      <w:r>
        <w:rPr>
          <w:szCs w:val="24"/>
        </w:rPr>
        <w:t>átit na soud s návrhem na exekuci.</w:t>
      </w:r>
      <w:r>
        <w:rPr>
          <w:rFonts w:eastAsia="Times New Roman" w:cs="Times New Roman"/>
          <w:szCs w:val="24"/>
          <w:vertAlign w:val="superscript"/>
        </w:rPr>
        <w:footnoteReference w:id="72"/>
      </w:r>
      <w:r>
        <w:rPr>
          <w:szCs w:val="24"/>
        </w:rPr>
        <w:t xml:space="preserve"> </w:t>
      </w:r>
    </w:p>
    <w:p w:rsidR="009B70FF" w:rsidRDefault="009B70FF" w:rsidP="009B70FF">
      <w:pPr>
        <w:rPr>
          <w:rFonts w:eastAsia="Times New Roman" w:cs="Times New Roman"/>
          <w:szCs w:val="24"/>
        </w:rPr>
      </w:pPr>
      <w:r>
        <w:rPr>
          <w:rFonts w:eastAsia="Times New Roman" w:cs="Times New Roman"/>
          <w:szCs w:val="24"/>
        </w:rPr>
        <w:tab/>
        <w:t>Civiln</w:t>
      </w:r>
      <w:r>
        <w:rPr>
          <w:szCs w:val="24"/>
        </w:rPr>
        <w:t>í a správní soudní tituly jsou vydávány v obč</w:t>
      </w:r>
      <w:r>
        <w:rPr>
          <w:szCs w:val="24"/>
          <w:lang w:val="da-DK"/>
        </w:rPr>
        <w:t>ansk</w:t>
      </w:r>
      <w:r>
        <w:rPr>
          <w:szCs w:val="24"/>
          <w:lang w:val="fr-FR"/>
        </w:rPr>
        <w:t>é</w:t>
      </w:r>
      <w:r>
        <w:rPr>
          <w:szCs w:val="24"/>
        </w:rPr>
        <w:t>m soudním řízení, kter</w:t>
      </w:r>
      <w:r>
        <w:rPr>
          <w:szCs w:val="24"/>
          <w:lang w:val="fr-FR"/>
        </w:rPr>
        <w:t xml:space="preserve">é </w:t>
      </w:r>
      <w:r>
        <w:rPr>
          <w:szCs w:val="24"/>
        </w:rPr>
        <w:t>je vedeno podle OSŘ a mají formu usnesení, rozsudku, platebního rozkazu, evropsk</w:t>
      </w:r>
      <w:r>
        <w:rPr>
          <w:szCs w:val="24"/>
          <w:lang w:val="fr-FR"/>
        </w:rPr>
        <w:t>é</w:t>
      </w:r>
      <w:r>
        <w:rPr>
          <w:szCs w:val="24"/>
        </w:rPr>
        <w:t>ho platebního rozkazu, elektronick</w:t>
      </w:r>
      <w:r>
        <w:rPr>
          <w:szCs w:val="24"/>
          <w:lang w:val="fr-FR"/>
        </w:rPr>
        <w:t>é</w:t>
      </w:r>
      <w:r>
        <w:rPr>
          <w:szCs w:val="24"/>
        </w:rPr>
        <w:t>ho platebního rozkazu či směnečn</w:t>
      </w:r>
      <w:r>
        <w:rPr>
          <w:szCs w:val="24"/>
          <w:lang w:val="fr-FR"/>
        </w:rPr>
        <w:t>é</w:t>
      </w:r>
      <w:r>
        <w:rPr>
          <w:szCs w:val="24"/>
          <w:lang w:val="es-ES_tradnl"/>
        </w:rPr>
        <w:t xml:space="preserve">ho a </w:t>
      </w:r>
      <w:r>
        <w:rPr>
          <w:szCs w:val="24"/>
        </w:rPr>
        <w:t>šekov</w:t>
      </w:r>
      <w:r>
        <w:rPr>
          <w:szCs w:val="24"/>
          <w:lang w:val="fr-FR"/>
        </w:rPr>
        <w:t>é</w:t>
      </w:r>
      <w:r>
        <w:rPr>
          <w:szCs w:val="24"/>
        </w:rPr>
        <w:t>ho platebního rozkazu. Následně trestní rozhodnutí jsou exekučním titulem a jsou vydávána v rámci trestního řízení. Trestní rozhodnutí lze vykonat v </w:t>
      </w:r>
      <w:r>
        <w:rPr>
          <w:szCs w:val="24"/>
          <w:lang w:val="pt-PT"/>
        </w:rPr>
        <w:t>exeku</w:t>
      </w:r>
      <w:r>
        <w:rPr>
          <w:szCs w:val="24"/>
        </w:rPr>
        <w:t>čním řízení, jestliže postihují majetek č</w:t>
      </w:r>
      <w:r>
        <w:rPr>
          <w:szCs w:val="24"/>
          <w:lang w:val="it-IT"/>
        </w:rPr>
        <w:t>i p</w:t>
      </w:r>
      <w:r>
        <w:rPr>
          <w:szCs w:val="24"/>
        </w:rPr>
        <w:t>řiznávají prá</w:t>
      </w:r>
      <w:r>
        <w:rPr>
          <w:szCs w:val="24"/>
          <w:lang w:val="it-IT"/>
        </w:rPr>
        <w:t>vo. V</w:t>
      </w:r>
      <w:r>
        <w:rPr>
          <w:szCs w:val="24"/>
        </w:rPr>
        <w:t> praxi nejkř</w:t>
      </w:r>
      <w:r>
        <w:rPr>
          <w:szCs w:val="24"/>
          <w:lang w:val="de-DE"/>
        </w:rPr>
        <w:t>eh</w:t>
      </w:r>
      <w:r>
        <w:rPr>
          <w:szCs w:val="24"/>
        </w:rPr>
        <w:t>čími exekučními tituly jsou rozhodčí nálezy vydá</w:t>
      </w:r>
      <w:r>
        <w:rPr>
          <w:szCs w:val="24"/>
          <w:lang w:val="nl-NL"/>
        </w:rPr>
        <w:t>van</w:t>
      </w:r>
      <w:r>
        <w:rPr>
          <w:szCs w:val="24"/>
          <w:lang w:val="fr-FR"/>
        </w:rPr>
        <w:t xml:space="preserve">é </w:t>
      </w:r>
      <w:r>
        <w:rPr>
          <w:szCs w:val="24"/>
        </w:rPr>
        <w:t>rozhodčí</w:t>
      </w:r>
      <w:r>
        <w:rPr>
          <w:szCs w:val="24"/>
          <w:lang w:val="it-IT"/>
        </w:rPr>
        <w:t>mi org</w:t>
      </w:r>
      <w:r>
        <w:rPr>
          <w:szCs w:val="24"/>
        </w:rPr>
        <w:t>ány na území ČR. U těchto exekučních titulů exekuce často končí zastavením, a to z důvodu rozvoje judikatury soudů. Judikatura stanovuje z pohledu práva na spravedlivý proces vcelku přísná pravidla pro posuzování obsahu rozhodčích doložek, a to z hlediska transparentnosti výběru rozhodce.</w:t>
      </w:r>
      <w:r>
        <w:rPr>
          <w:rFonts w:eastAsia="Times New Roman" w:cs="Times New Roman"/>
          <w:szCs w:val="24"/>
          <w:vertAlign w:val="superscript"/>
        </w:rPr>
        <w:footnoteReference w:id="73"/>
      </w:r>
    </w:p>
    <w:p w:rsidR="009B70FF" w:rsidRDefault="009B70FF" w:rsidP="009B70FF">
      <w:pPr>
        <w:ind w:firstLine="360"/>
        <w:rPr>
          <w:rFonts w:eastAsia="Times New Roman" w:cs="Times New Roman"/>
          <w:szCs w:val="24"/>
        </w:rPr>
      </w:pPr>
      <w:r>
        <w:rPr>
          <w:szCs w:val="24"/>
          <w:lang w:val="en-US"/>
        </w:rPr>
        <w:t xml:space="preserve"> </w:t>
      </w:r>
      <w:r>
        <w:rPr>
          <w:szCs w:val="24"/>
          <w:lang w:val="en-US"/>
        </w:rPr>
        <w:tab/>
        <w:t>Not</w:t>
      </w:r>
      <w:r>
        <w:rPr>
          <w:szCs w:val="24"/>
        </w:rPr>
        <w:t>ářsk</w:t>
      </w:r>
      <w:r>
        <w:rPr>
          <w:szCs w:val="24"/>
          <w:lang w:val="fr-FR"/>
        </w:rPr>
        <w:t xml:space="preserve">é </w:t>
      </w:r>
      <w:r>
        <w:rPr>
          <w:szCs w:val="24"/>
        </w:rPr>
        <w:t>zápisy, jako vykonateln</w:t>
      </w:r>
      <w:r>
        <w:rPr>
          <w:szCs w:val="24"/>
          <w:lang w:val="fr-FR"/>
        </w:rPr>
        <w:t xml:space="preserve">é </w:t>
      </w:r>
      <w:r>
        <w:rPr>
          <w:szCs w:val="24"/>
          <w:lang w:val="pt-PT"/>
        </w:rPr>
        <w:t>exeku</w:t>
      </w:r>
      <w:r>
        <w:rPr>
          <w:szCs w:val="24"/>
        </w:rPr>
        <w:t>ční tituly, jsou se svolením k vykonatelnosti zápisy o dohodě, kterou se účastník zavázal ke splnění pohledávky, která vyplývá ze závazkov</w:t>
      </w:r>
      <w:r>
        <w:rPr>
          <w:szCs w:val="24"/>
          <w:lang w:val="fr-FR"/>
        </w:rPr>
        <w:t>é</w:t>
      </w:r>
      <w:r>
        <w:rPr>
          <w:szCs w:val="24"/>
        </w:rPr>
        <w:t>ho vztahu. K t</w:t>
      </w:r>
      <w:r>
        <w:rPr>
          <w:szCs w:val="24"/>
          <w:lang w:val="fr-FR"/>
        </w:rPr>
        <w:t>é</w:t>
      </w:r>
      <w:r>
        <w:rPr>
          <w:szCs w:val="24"/>
        </w:rPr>
        <w:t>to pohledávce účastník svolí, aby byla podle notářsk</w:t>
      </w:r>
      <w:r>
        <w:rPr>
          <w:szCs w:val="24"/>
          <w:lang w:val="fr-FR"/>
        </w:rPr>
        <w:t>é</w:t>
      </w:r>
      <w:r>
        <w:rPr>
          <w:szCs w:val="24"/>
        </w:rPr>
        <w:t>ho zápisu nařízena exekuce či výkon rozhodnutí, a to v případě, že povinnost nebyla splněna vč</w:t>
      </w:r>
      <w:r>
        <w:rPr>
          <w:szCs w:val="24"/>
          <w:lang w:val="en-US"/>
        </w:rPr>
        <w:t xml:space="preserve">as a </w:t>
      </w:r>
      <w:r>
        <w:rPr>
          <w:szCs w:val="24"/>
        </w:rPr>
        <w:t>řádně. Mezi exekuční tituly podle jiných předpisů uveden</w:t>
      </w:r>
      <w:r>
        <w:rPr>
          <w:szCs w:val="24"/>
          <w:lang w:val="fr-FR"/>
        </w:rPr>
        <w:t xml:space="preserve">ých </w:t>
      </w:r>
      <w:r>
        <w:rPr>
          <w:szCs w:val="24"/>
        </w:rPr>
        <w:t>v odstavci 1 pí</w:t>
      </w:r>
      <w:r>
        <w:rPr>
          <w:szCs w:val="24"/>
          <w:lang w:val="en-US"/>
        </w:rPr>
        <w:t>sm. f pat</w:t>
      </w:r>
      <w:r>
        <w:rPr>
          <w:szCs w:val="24"/>
        </w:rPr>
        <w:t xml:space="preserve">ří: </w:t>
      </w:r>
    </w:p>
    <w:p w:rsidR="009B70FF" w:rsidRDefault="009B70FF" w:rsidP="007A2179">
      <w:pPr>
        <w:pStyle w:val="Odstavecseseznamem"/>
        <w:numPr>
          <w:ilvl w:val="0"/>
          <w:numId w:val="13"/>
        </w:numPr>
        <w:pBdr>
          <w:top w:val="nil"/>
          <w:left w:val="nil"/>
          <w:bottom w:val="nil"/>
          <w:right w:val="nil"/>
          <w:between w:val="nil"/>
          <w:bar w:val="nil"/>
        </w:pBdr>
        <w:spacing w:before="0"/>
        <w:contextualSpacing w:val="0"/>
        <w:rPr>
          <w:szCs w:val="24"/>
          <w:lang w:val="es-ES_tradnl"/>
        </w:rPr>
      </w:pPr>
      <w:r>
        <w:rPr>
          <w:szCs w:val="24"/>
          <w:lang w:val="es-ES_tradnl"/>
        </w:rPr>
        <w:t>insolven</w:t>
      </w:r>
      <w:r>
        <w:rPr>
          <w:szCs w:val="24"/>
        </w:rPr>
        <w:t>ční tituly, mohou být všechna rozhodnutí, schválen</w:t>
      </w:r>
      <w:r>
        <w:rPr>
          <w:szCs w:val="24"/>
          <w:lang w:val="fr-FR"/>
        </w:rPr>
        <w:t xml:space="preserve">é </w:t>
      </w:r>
      <w:r>
        <w:rPr>
          <w:szCs w:val="24"/>
        </w:rPr>
        <w:t>smíry a listiny, pokud jiný zákon výkon těchto exekučních titulů výslovně př</w:t>
      </w:r>
      <w:r>
        <w:rPr>
          <w:szCs w:val="24"/>
          <w:lang w:val="fr-FR"/>
        </w:rPr>
        <w:t>ipou</w:t>
      </w:r>
      <w:r>
        <w:rPr>
          <w:szCs w:val="24"/>
        </w:rPr>
        <w:t>ští.</w:t>
      </w:r>
    </w:p>
    <w:p w:rsidR="009B70FF" w:rsidRDefault="009B70FF" w:rsidP="007A2179">
      <w:pPr>
        <w:pStyle w:val="Odstavecseseznamem"/>
        <w:numPr>
          <w:ilvl w:val="0"/>
          <w:numId w:val="13"/>
        </w:numPr>
        <w:pBdr>
          <w:top w:val="nil"/>
          <w:left w:val="nil"/>
          <w:bottom w:val="nil"/>
          <w:right w:val="nil"/>
          <w:between w:val="nil"/>
          <w:bar w:val="nil"/>
        </w:pBdr>
        <w:spacing w:before="0"/>
        <w:contextualSpacing w:val="0"/>
        <w:rPr>
          <w:szCs w:val="24"/>
        </w:rPr>
      </w:pPr>
      <w:r>
        <w:rPr>
          <w:szCs w:val="24"/>
        </w:rPr>
        <w:t>rozhodnutí rozhodčích komisí a smíry jimi schválen</w:t>
      </w:r>
      <w:r>
        <w:rPr>
          <w:szCs w:val="24"/>
          <w:lang w:val="fr-FR"/>
        </w:rPr>
        <w:t xml:space="preserve">é </w:t>
      </w:r>
      <w:r>
        <w:rPr>
          <w:szCs w:val="24"/>
        </w:rPr>
        <w:t>jsou v </w:t>
      </w:r>
      <w:r>
        <w:rPr>
          <w:szCs w:val="24"/>
          <w:lang w:val="pt-PT"/>
        </w:rPr>
        <w:t>exeku</w:t>
      </w:r>
      <w:r>
        <w:rPr>
          <w:szCs w:val="24"/>
        </w:rPr>
        <w:t>čním řízení vykonateln</w:t>
      </w:r>
      <w:r>
        <w:rPr>
          <w:szCs w:val="24"/>
          <w:lang w:val="fr-FR"/>
        </w:rPr>
        <w:t xml:space="preserve">é </w:t>
      </w:r>
      <w:r>
        <w:rPr>
          <w:szCs w:val="24"/>
        </w:rPr>
        <w:t>podle EŘ a to i ty tituly uveden</w:t>
      </w:r>
      <w:r>
        <w:rPr>
          <w:szCs w:val="24"/>
          <w:lang w:val="fr-FR"/>
        </w:rPr>
        <w:t xml:space="preserve">é </w:t>
      </w:r>
      <w:r>
        <w:rPr>
          <w:szCs w:val="24"/>
        </w:rPr>
        <w:t xml:space="preserve">v § 274 písm c) OSŘ </w:t>
      </w:r>
    </w:p>
    <w:p w:rsidR="009B70FF" w:rsidRDefault="009B70FF" w:rsidP="007A2179">
      <w:pPr>
        <w:pStyle w:val="Odstavecseseznamem"/>
        <w:numPr>
          <w:ilvl w:val="0"/>
          <w:numId w:val="13"/>
        </w:numPr>
        <w:pBdr>
          <w:top w:val="nil"/>
          <w:left w:val="nil"/>
          <w:bottom w:val="nil"/>
          <w:right w:val="nil"/>
          <w:between w:val="nil"/>
          <w:bar w:val="nil"/>
        </w:pBdr>
        <w:spacing w:before="0"/>
        <w:contextualSpacing w:val="0"/>
        <w:rPr>
          <w:szCs w:val="24"/>
        </w:rPr>
      </w:pPr>
      <w:r>
        <w:rPr>
          <w:szCs w:val="24"/>
        </w:rPr>
        <w:t>rozhodnutí Ústavního soudu, v rámci nichž se rozhoduje o nákladech účastníků, jež jim vznikly v rámci řízení u Ústavního soudu.</w:t>
      </w:r>
    </w:p>
    <w:p w:rsidR="009B70FF" w:rsidRDefault="009B70FF" w:rsidP="007A2179">
      <w:pPr>
        <w:pStyle w:val="Odstavecseseznamem"/>
        <w:numPr>
          <w:ilvl w:val="0"/>
          <w:numId w:val="13"/>
        </w:numPr>
        <w:pBdr>
          <w:top w:val="nil"/>
          <w:left w:val="nil"/>
          <w:bottom w:val="nil"/>
          <w:right w:val="nil"/>
          <w:between w:val="nil"/>
          <w:bar w:val="nil"/>
        </w:pBdr>
        <w:spacing w:before="0"/>
        <w:contextualSpacing w:val="0"/>
        <w:rPr>
          <w:szCs w:val="24"/>
        </w:rPr>
      </w:pPr>
      <w:r>
        <w:rPr>
          <w:szCs w:val="24"/>
        </w:rPr>
        <w:t>cizozemsk</w:t>
      </w:r>
      <w:r>
        <w:rPr>
          <w:szCs w:val="24"/>
          <w:lang w:val="fr-FR"/>
        </w:rPr>
        <w:t xml:space="preserve">é </w:t>
      </w:r>
      <w:r>
        <w:rPr>
          <w:szCs w:val="24"/>
        </w:rPr>
        <w:t>tituly, jež lze vykonat jako exekuční tituly vydan</w:t>
      </w:r>
      <w:r>
        <w:rPr>
          <w:szCs w:val="24"/>
          <w:lang w:val="fr-FR"/>
        </w:rPr>
        <w:t xml:space="preserve">é </w:t>
      </w:r>
      <w:r>
        <w:rPr>
          <w:szCs w:val="24"/>
        </w:rPr>
        <w:t>mimo území ČR. V těchto případech postupují soudy podle předpisů EU či podle mezinárodních smluv a to jestliže upravují otázku uznání a výkonu rozhodnutí.</w:t>
      </w:r>
      <w:r w:rsidR="00BF6AD2">
        <w:rPr>
          <w:rStyle w:val="Znakapoznpodarou"/>
          <w:szCs w:val="24"/>
        </w:rPr>
        <w:footnoteReference w:id="74"/>
      </w:r>
    </w:p>
    <w:p w:rsidR="009B70FF" w:rsidRDefault="009B70FF" w:rsidP="007A2179">
      <w:pPr>
        <w:pStyle w:val="Nadpis2"/>
        <w:numPr>
          <w:ilvl w:val="1"/>
          <w:numId w:val="34"/>
        </w:numPr>
        <w:pBdr>
          <w:top w:val="nil"/>
          <w:left w:val="nil"/>
          <w:bottom w:val="nil"/>
          <w:right w:val="nil"/>
          <w:between w:val="nil"/>
          <w:bar w:val="nil"/>
        </w:pBdr>
        <w:spacing w:before="260" w:after="260"/>
        <w:ind w:left="709" w:hanging="709"/>
        <w:jc w:val="left"/>
        <w:rPr>
          <w:rFonts w:eastAsia="Times New Roman" w:cs="Times New Roman"/>
          <w:color w:val="000000"/>
        </w:rPr>
      </w:pPr>
      <w:bookmarkStart w:id="67" w:name="_Toc22"/>
      <w:bookmarkStart w:id="68" w:name="_Toc18276737"/>
      <w:bookmarkStart w:id="69" w:name="_Toc18313957"/>
      <w:r>
        <w:rPr>
          <w:color w:val="000000"/>
          <w:u w:color="000000"/>
        </w:rPr>
        <w:t>Exekuční řízení</w:t>
      </w:r>
      <w:bookmarkEnd w:id="67"/>
      <w:bookmarkEnd w:id="68"/>
      <w:bookmarkEnd w:id="69"/>
    </w:p>
    <w:p w:rsidR="009B70FF" w:rsidRDefault="009B70FF" w:rsidP="007A2179">
      <w:pPr>
        <w:pStyle w:val="Nadpis3"/>
        <w:numPr>
          <w:ilvl w:val="2"/>
          <w:numId w:val="34"/>
        </w:numPr>
        <w:pBdr>
          <w:top w:val="nil"/>
          <w:left w:val="nil"/>
          <w:bottom w:val="nil"/>
          <w:right w:val="nil"/>
          <w:between w:val="nil"/>
          <w:bar w:val="nil"/>
        </w:pBdr>
        <w:spacing w:before="200" w:after="0" w:line="276" w:lineRule="auto"/>
        <w:jc w:val="left"/>
        <w:rPr>
          <w:rFonts w:eastAsia="Times New Roman" w:cs="Times New Roman"/>
          <w:color w:val="000000"/>
        </w:rPr>
      </w:pPr>
      <w:bookmarkStart w:id="70" w:name="_Toc23"/>
      <w:bookmarkStart w:id="71" w:name="_Toc18276738"/>
      <w:bookmarkStart w:id="72" w:name="_Toc18313958"/>
      <w:r>
        <w:rPr>
          <w:color w:val="000000"/>
          <w:u w:color="000000"/>
        </w:rPr>
        <w:t>Soudní exekuce nařízená a provedená soudem</w:t>
      </w:r>
      <w:bookmarkEnd w:id="70"/>
      <w:bookmarkEnd w:id="71"/>
      <w:bookmarkEnd w:id="72"/>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color w:val="444444"/>
          <w:sz w:val="27"/>
          <w:szCs w:val="27"/>
          <w:u w:color="000000"/>
          <w:shd w:val="clear" w:color="auto" w:fill="FFFFFF"/>
        </w:rPr>
      </w:pPr>
    </w:p>
    <w:p w:rsidR="00BF6AD2"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24"/>
          <w:szCs w:val="24"/>
          <w:u w:color="000000"/>
        </w:rPr>
      </w:pPr>
      <w:r>
        <w:rPr>
          <w:rFonts w:ascii="Times New Roman" w:hAnsi="Times New Roman"/>
          <w:sz w:val="24"/>
          <w:szCs w:val="24"/>
        </w:rPr>
        <w:tab/>
        <w:t xml:space="preserve">Prvním bodem vykonávacího řízení podle OSŘ je nařízení výkonu rozhodnutí. </w:t>
      </w:r>
      <w:r>
        <w:rPr>
          <w:rFonts w:ascii="Times New Roman" w:hAnsi="Times New Roman"/>
          <w:sz w:val="24"/>
          <w:szCs w:val="24"/>
          <w:u w:color="000000"/>
        </w:rPr>
        <w:t xml:space="preserve">Účastníky řízení jsou v rámci výkonu podle § 255 OSŘ oprávněný a povinný, ale také manžel povinného, jestliže je výkonem rozhodnutí postihován jeho majetek či majetek ve společném jmění manželů </w:t>
      </w:r>
      <w:r>
        <w:rPr>
          <w:rFonts w:ascii="Times New Roman" w:hAnsi="Times New Roman"/>
          <w:sz w:val="24"/>
          <w:szCs w:val="24"/>
        </w:rPr>
        <w:t>Výkon rozhodnutí se nařizuje pouze na návrh oprávněn</w:t>
      </w:r>
      <w:r>
        <w:rPr>
          <w:rFonts w:ascii="Times New Roman" w:hAnsi="Times New Roman"/>
          <w:sz w:val="24"/>
          <w:szCs w:val="24"/>
          <w:lang w:val="fr-FR"/>
        </w:rPr>
        <w:t>é</w:t>
      </w:r>
      <w:r>
        <w:rPr>
          <w:rFonts w:ascii="Times New Roman" w:hAnsi="Times New Roman"/>
          <w:sz w:val="24"/>
          <w:szCs w:val="24"/>
          <w:lang w:val="it-IT"/>
        </w:rPr>
        <w:t>ho.</w:t>
      </w:r>
      <w:r>
        <w:rPr>
          <w:rFonts w:ascii="Times New Roman" w:hAnsi="Times New Roman"/>
          <w:sz w:val="24"/>
          <w:szCs w:val="24"/>
        </w:rPr>
        <w:t xml:space="preserve"> Tento návrh podává oprávněný v případě, že povinný nesplní dobrovolně, co mu ukládá vykonateln</w:t>
      </w:r>
      <w:r>
        <w:rPr>
          <w:rFonts w:ascii="Times New Roman" w:hAnsi="Times New Roman"/>
          <w:sz w:val="24"/>
          <w:szCs w:val="24"/>
          <w:lang w:val="fr-FR"/>
        </w:rPr>
        <w:t xml:space="preserve">é </w:t>
      </w:r>
      <w:r>
        <w:rPr>
          <w:rFonts w:ascii="Times New Roman" w:hAnsi="Times New Roman"/>
          <w:sz w:val="24"/>
          <w:szCs w:val="24"/>
        </w:rPr>
        <w:t>rozhodnutí.</w:t>
      </w:r>
      <w:r>
        <w:rPr>
          <w:rFonts w:ascii="Times New Roman" w:hAnsi="Times New Roman"/>
          <w:sz w:val="24"/>
          <w:szCs w:val="24"/>
          <w:u w:color="000000"/>
        </w:rPr>
        <w:t xml:space="preserve"> Soud provádí výkon rozhodnutí u těch titulů, které se nevykonávají v rámci exekuce správní či daňové. V těchto případech soud návrh odmítá.</w:t>
      </w:r>
      <w:r w:rsidR="00BF6AD2">
        <w:rPr>
          <w:rStyle w:val="Znakapoznpodarou"/>
          <w:rFonts w:ascii="Times New Roman" w:hAnsi="Times New Roman"/>
          <w:sz w:val="24"/>
          <w:szCs w:val="24"/>
          <w:u w:color="000000"/>
        </w:rPr>
        <w:footnoteReference w:id="75"/>
      </w:r>
    </w:p>
    <w:p w:rsidR="009B70FF" w:rsidRPr="00BF6AD2" w:rsidRDefault="00BF6AD2"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r w:rsidR="009B70FF">
        <w:rPr>
          <w:rFonts w:ascii="Times New Roman" w:eastAsia="Times New Roman" w:hAnsi="Times New Roman" w:cs="Times New Roman"/>
          <w:sz w:val="24"/>
          <w:szCs w:val="24"/>
          <w:u w:color="000000"/>
        </w:rPr>
        <w:t>N</w:t>
      </w:r>
      <w:r w:rsidR="009B70FF">
        <w:rPr>
          <w:rFonts w:ascii="Times New Roman" w:hAnsi="Times New Roman"/>
          <w:sz w:val="24"/>
          <w:szCs w:val="24"/>
          <w:u w:color="000000"/>
        </w:rPr>
        <w:t>ávrh musí obsahovat materiální i formální náležitosti. Oprávněný v</w:t>
      </w:r>
      <w:r w:rsidR="009B70FF">
        <w:rPr>
          <w:rFonts w:ascii="Times New Roman" w:hAnsi="Times New Roman"/>
          <w:sz w:val="24"/>
          <w:szCs w:val="24"/>
        </w:rPr>
        <w:t xml:space="preserve"> návrhu na výkon rozhodnutí uvede rodné číslo povinn</w:t>
      </w:r>
      <w:r w:rsidR="009B70FF">
        <w:rPr>
          <w:rFonts w:ascii="Times New Roman" w:hAnsi="Times New Roman"/>
          <w:sz w:val="24"/>
          <w:szCs w:val="24"/>
          <w:lang w:val="fr-FR"/>
        </w:rPr>
        <w:t>é</w:t>
      </w:r>
      <w:r w:rsidR="009B70FF">
        <w:rPr>
          <w:rFonts w:ascii="Times New Roman" w:hAnsi="Times New Roman"/>
          <w:sz w:val="24"/>
          <w:szCs w:val="24"/>
          <w:lang w:val="pt-PT"/>
        </w:rPr>
        <w:t xml:space="preserve">ho, </w:t>
      </w:r>
      <w:r w:rsidR="009B70FF">
        <w:rPr>
          <w:rFonts w:ascii="Times New Roman" w:hAnsi="Times New Roman"/>
          <w:sz w:val="24"/>
          <w:szCs w:val="24"/>
        </w:rPr>
        <w:t>pokud je mu zná</w:t>
      </w:r>
      <w:r w:rsidR="009B70FF">
        <w:rPr>
          <w:rFonts w:ascii="Times New Roman" w:hAnsi="Times New Roman"/>
          <w:sz w:val="24"/>
          <w:szCs w:val="24"/>
          <w:lang w:val="it-IT"/>
        </w:rPr>
        <w:t xml:space="preserve">mo. </w:t>
      </w:r>
      <w:r w:rsidR="009B70FF">
        <w:rPr>
          <w:rFonts w:ascii="Times New Roman" w:hAnsi="Times New Roman"/>
          <w:sz w:val="24"/>
          <w:szCs w:val="24"/>
        </w:rPr>
        <w:t>A zároveň zde uvede, jakým způsobem by měl být výkon rozhodnutí proveden. K návrhu se připojuje stejnopis rozhodnutí, zároveň s potvrzením vykonatelnosti, které opatřuje soud, jenž o věci rozhodoval v prvním stupni. Jestliže se návrh podává u soudu, který o věci rozhodoval v prvním stupni, nemusí se k návrhu připojovat stejnopis rozhodnutí.</w:t>
      </w:r>
      <w:r>
        <w:rPr>
          <w:rStyle w:val="Znakapoznpodarou"/>
          <w:rFonts w:ascii="Times New Roman" w:hAnsi="Times New Roman"/>
          <w:sz w:val="24"/>
          <w:szCs w:val="24"/>
        </w:rPr>
        <w:footnoteReference w:id="76"/>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Poté, co soud nařídil výkon rozhodnutí, postará se zároveň o jeho provedení, přičemž jednotlivé úkony při provádění výkonu rozhodnutí může činit soudní vykonavatel, jehož pověřuje předseda senátu a při své činnosti se tento vykonavatel řídí jeho pokyny. Upustit od dalšího provádění výkonu rozhodnutí bez příkazu předsedy senátu může vykonavatel jen tehdy, pokud s tím souhlasí </w:t>
      </w:r>
      <w:r>
        <w:rPr>
          <w:rFonts w:ascii="Times New Roman" w:hAnsi="Times New Roman"/>
          <w:sz w:val="24"/>
          <w:szCs w:val="24"/>
          <w:lang w:val="it-IT"/>
        </w:rPr>
        <w:t>oprávněný</w:t>
      </w:r>
      <w:r>
        <w:rPr>
          <w:rFonts w:ascii="Times New Roman" w:hAnsi="Times New Roman"/>
          <w:sz w:val="24"/>
          <w:szCs w:val="24"/>
        </w:rPr>
        <w:t xml:space="preserve"> anebo splní-li povinný dobrovolně, co mu ukládá rozhodnutí.</w:t>
      </w:r>
      <w:r w:rsidR="00BF6AD2">
        <w:rPr>
          <w:rStyle w:val="Znakapoznpodarou"/>
          <w:rFonts w:ascii="Times New Roman" w:hAnsi="Times New Roman"/>
          <w:sz w:val="24"/>
          <w:szCs w:val="24"/>
        </w:rPr>
        <w:footnoteReference w:id="77"/>
      </w:r>
      <w:r>
        <w:rPr>
          <w:rFonts w:ascii="Times New Roman" w:hAnsi="Times New Roman"/>
          <w:sz w:val="24"/>
          <w:szCs w:val="24"/>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w:eastAsia="Times" w:hAnsi="Times" w:cs="Times"/>
          <w:sz w:val="24"/>
          <w:szCs w:val="24"/>
        </w:rPr>
      </w:pPr>
      <w:r>
        <w:rPr>
          <w:rFonts w:ascii="Times New Roman" w:eastAsia="Times New Roman" w:hAnsi="Times New Roman" w:cs="Times New Roman"/>
          <w:sz w:val="32"/>
          <w:szCs w:val="32"/>
        </w:rPr>
        <w:tab/>
      </w:r>
      <w:r>
        <w:rPr>
          <w:rFonts w:ascii="Times New Roman" w:hAnsi="Times New Roman"/>
          <w:sz w:val="24"/>
          <w:szCs w:val="24"/>
        </w:rPr>
        <w:t>Rozhodnutí musí být vykonává</w:t>
      </w:r>
      <w:r>
        <w:rPr>
          <w:rFonts w:ascii="Times New Roman" w:hAnsi="Times New Roman"/>
          <w:sz w:val="24"/>
          <w:szCs w:val="24"/>
          <w:lang w:val="it-IT"/>
        </w:rPr>
        <w:t xml:space="preserve">no </w:t>
      </w:r>
      <w:r>
        <w:rPr>
          <w:rFonts w:ascii="Times New Roman" w:hAnsi="Times New Roman"/>
          <w:sz w:val="24"/>
          <w:szCs w:val="24"/>
        </w:rPr>
        <w:t>dle způ</w:t>
      </w:r>
      <w:r>
        <w:rPr>
          <w:rFonts w:ascii="Times New Roman" w:hAnsi="Times New Roman"/>
          <w:sz w:val="24"/>
          <w:szCs w:val="24"/>
          <w:lang w:val="es-ES_tradnl"/>
        </w:rPr>
        <w:t>sob</w:t>
      </w:r>
      <w:r>
        <w:rPr>
          <w:rFonts w:ascii="Times New Roman" w:hAnsi="Times New Roman"/>
          <w:sz w:val="24"/>
          <w:szCs w:val="24"/>
        </w:rPr>
        <w:t>ů uvedených v zá</w:t>
      </w:r>
      <w:r>
        <w:rPr>
          <w:rFonts w:ascii="Times New Roman" w:hAnsi="Times New Roman"/>
          <w:sz w:val="24"/>
          <w:szCs w:val="24"/>
          <w:lang w:val="it-IT"/>
        </w:rPr>
        <w:t>kone</w:t>
      </w:r>
      <w:r>
        <w:rPr>
          <w:rFonts w:ascii="Times New Roman" w:hAnsi="Times New Roman"/>
          <w:sz w:val="24"/>
          <w:szCs w:val="24"/>
        </w:rPr>
        <w:t>̌ č. 99/1963 Sb., obč</w:t>
      </w:r>
      <w:r>
        <w:rPr>
          <w:rFonts w:ascii="Times New Roman" w:hAnsi="Times New Roman"/>
          <w:sz w:val="24"/>
          <w:szCs w:val="24"/>
          <w:lang w:val="da-DK"/>
        </w:rPr>
        <w:t>ansk</w:t>
      </w:r>
      <w:r>
        <w:rPr>
          <w:rFonts w:ascii="Times New Roman" w:hAnsi="Times New Roman"/>
          <w:sz w:val="24"/>
          <w:szCs w:val="24"/>
          <w:lang w:val="fr-FR"/>
        </w:rPr>
        <w:t>é</w:t>
      </w:r>
      <w:r>
        <w:rPr>
          <w:rFonts w:ascii="Times New Roman" w:hAnsi="Times New Roman"/>
          <w:sz w:val="24"/>
          <w:szCs w:val="24"/>
        </w:rPr>
        <w:t>m soudním řádu. Výkon rozhodnutí je možn</w:t>
      </w:r>
      <w:r>
        <w:rPr>
          <w:rFonts w:ascii="Times New Roman" w:hAnsi="Times New Roman"/>
          <w:sz w:val="24"/>
          <w:szCs w:val="24"/>
          <w:lang w:val="fr-FR"/>
        </w:rPr>
        <w:t xml:space="preserve">é </w:t>
      </w:r>
      <w:r>
        <w:rPr>
          <w:rFonts w:ascii="Times New Roman" w:hAnsi="Times New Roman"/>
          <w:sz w:val="24"/>
          <w:szCs w:val="24"/>
        </w:rPr>
        <w:t>prov</w:t>
      </w:r>
      <w:r>
        <w:rPr>
          <w:rFonts w:ascii="Times New Roman" w:hAnsi="Times New Roman"/>
          <w:sz w:val="24"/>
          <w:szCs w:val="24"/>
          <w:lang w:val="fr-FR"/>
        </w:rPr>
        <w:t>é</w:t>
      </w:r>
      <w:r>
        <w:rPr>
          <w:rFonts w:ascii="Times New Roman" w:hAnsi="Times New Roman"/>
          <w:sz w:val="24"/>
          <w:szCs w:val="24"/>
        </w:rPr>
        <w:t>st, jak vymáháním peněžit</w:t>
      </w:r>
      <w:r>
        <w:rPr>
          <w:rFonts w:ascii="Times New Roman" w:hAnsi="Times New Roman"/>
          <w:sz w:val="24"/>
          <w:szCs w:val="24"/>
          <w:lang w:val="fr-FR"/>
        </w:rPr>
        <w:t>é</w:t>
      </w:r>
      <w:r>
        <w:rPr>
          <w:rFonts w:ascii="Times New Roman" w:hAnsi="Times New Roman"/>
          <w:sz w:val="24"/>
          <w:szCs w:val="24"/>
        </w:rPr>
        <w:t>, tak nepeněžit</w:t>
      </w:r>
      <w:r>
        <w:rPr>
          <w:rFonts w:ascii="Times New Roman" w:hAnsi="Times New Roman"/>
          <w:sz w:val="24"/>
          <w:szCs w:val="24"/>
          <w:lang w:val="fr-FR"/>
        </w:rPr>
        <w:t xml:space="preserve">é </w:t>
      </w:r>
      <w:r>
        <w:rPr>
          <w:rFonts w:ascii="Times New Roman" w:hAnsi="Times New Roman"/>
          <w:sz w:val="24"/>
          <w:szCs w:val="24"/>
        </w:rPr>
        <w:t>pohledávky. Přičemž exekuce na peněžité plnění je prováděna srážkami ze mzdy, přikázáním pohledávky, s</w:t>
      </w:r>
      <w:r>
        <w:rPr>
          <w:rFonts w:ascii="Times New Roman" w:hAnsi="Times New Roman"/>
          <w:sz w:val="24"/>
          <w:szCs w:val="24"/>
          <w:u w:color="000000"/>
        </w:rPr>
        <w:t>právou nemovit</w:t>
      </w:r>
      <w:r>
        <w:rPr>
          <w:rFonts w:ascii="Times New Roman" w:hAnsi="Times New Roman"/>
          <w:sz w:val="24"/>
          <w:szCs w:val="24"/>
          <w:u w:color="000000"/>
          <w:lang w:val="fr-FR"/>
        </w:rPr>
        <w:t xml:space="preserve">é </w:t>
      </w:r>
      <w:r>
        <w:rPr>
          <w:rFonts w:ascii="Times New Roman" w:hAnsi="Times New Roman"/>
          <w:sz w:val="24"/>
          <w:szCs w:val="24"/>
          <w:u w:color="000000"/>
        </w:rPr>
        <w:t>věci</w:t>
      </w:r>
      <w:r>
        <w:rPr>
          <w:rFonts w:ascii="Times New Roman" w:hAnsi="Times New Roman"/>
          <w:sz w:val="24"/>
          <w:szCs w:val="24"/>
        </w:rPr>
        <w:t>, p</w:t>
      </w:r>
      <w:r>
        <w:rPr>
          <w:rFonts w:ascii="Times New Roman" w:hAnsi="Times New Roman"/>
          <w:sz w:val="24"/>
          <w:szCs w:val="24"/>
          <w:u w:color="000000"/>
        </w:rPr>
        <w:t>rodej movitých věcí a nemovitých věcí, postižením závodu či zřízením soudcovsk</w:t>
      </w:r>
      <w:r>
        <w:rPr>
          <w:rFonts w:ascii="Times New Roman" w:hAnsi="Times New Roman"/>
          <w:sz w:val="24"/>
          <w:szCs w:val="24"/>
          <w:u w:color="000000"/>
          <w:lang w:val="fr-FR"/>
        </w:rPr>
        <w:t>é</w:t>
      </w:r>
      <w:r>
        <w:rPr>
          <w:rFonts w:ascii="Times New Roman" w:hAnsi="Times New Roman"/>
          <w:sz w:val="24"/>
          <w:szCs w:val="24"/>
          <w:u w:color="000000"/>
        </w:rPr>
        <w:t>ho zástavního práva k nemovitým věcem. Co se týče exekuce na nepěžité plnění probíhá v</w:t>
      </w:r>
      <w:r>
        <w:rPr>
          <w:rFonts w:ascii="Times New Roman" w:hAnsi="Times New Roman"/>
          <w:sz w:val="24"/>
          <w:szCs w:val="24"/>
        </w:rPr>
        <w:t>yklizením, odebráním věci, rozdělením společn</w:t>
      </w:r>
      <w:r>
        <w:rPr>
          <w:rFonts w:ascii="Times New Roman" w:hAnsi="Times New Roman"/>
          <w:sz w:val="24"/>
          <w:szCs w:val="24"/>
          <w:lang w:val="fr-FR"/>
        </w:rPr>
        <w:t xml:space="preserve">é </w:t>
      </w:r>
      <w:r>
        <w:rPr>
          <w:rFonts w:ascii="Times New Roman" w:hAnsi="Times New Roman"/>
          <w:sz w:val="24"/>
          <w:szCs w:val="24"/>
        </w:rPr>
        <w:t>vě</w:t>
      </w:r>
      <w:r>
        <w:rPr>
          <w:rFonts w:ascii="Times New Roman" w:hAnsi="Times New Roman"/>
          <w:sz w:val="24"/>
          <w:szCs w:val="24"/>
          <w:lang w:val="it-IT"/>
        </w:rPr>
        <w:t xml:space="preserve">ci </w:t>
      </w:r>
      <w:r>
        <w:rPr>
          <w:rFonts w:ascii="Times New Roman" w:hAnsi="Times New Roman"/>
          <w:sz w:val="24"/>
          <w:szCs w:val="24"/>
        </w:rPr>
        <w:t>či provedením prací a výkonu.</w:t>
      </w:r>
      <w:r w:rsidR="00BF6AD2">
        <w:rPr>
          <w:rStyle w:val="Znakapoznpodarou"/>
          <w:rFonts w:ascii="Times New Roman" w:hAnsi="Times New Roman"/>
          <w:sz w:val="24"/>
          <w:szCs w:val="24"/>
        </w:rPr>
        <w:footnoteReference w:id="78"/>
      </w:r>
      <w:r>
        <w:rPr>
          <w:rFonts w:ascii="Times New Roman" w:hAnsi="Times New Roman"/>
          <w:sz w:val="24"/>
          <w:szCs w:val="24"/>
        </w:rPr>
        <w:t xml:space="preserve"> </w:t>
      </w:r>
      <w:r>
        <w:rPr>
          <w:rFonts w:ascii="Times" w:eastAsia="Times" w:hAnsi="Times" w:cs="Times"/>
          <w:sz w:val="24"/>
          <w:szCs w:val="24"/>
        </w:rPr>
        <w:tab/>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32"/>
          <w:szCs w:val="32"/>
          <w:shd w:val="clear" w:color="auto" w:fill="FFFFFF"/>
        </w:rPr>
      </w:pPr>
      <w:r>
        <w:rPr>
          <w:rFonts w:ascii="Times" w:eastAsia="Times" w:hAnsi="Times" w:cs="Times"/>
          <w:sz w:val="24"/>
          <w:szCs w:val="24"/>
        </w:rPr>
        <w:tab/>
      </w:r>
      <w:r>
        <w:rPr>
          <w:rFonts w:ascii="Times New Roman" w:hAnsi="Times New Roman"/>
          <w:sz w:val="24"/>
          <w:szCs w:val="24"/>
        </w:rPr>
        <w:t>Výkon rozhodnutí je možné na návrh soudu odložit, a to pokud se povinný bez svého zavinění ocitl přechodně v takov</w:t>
      </w:r>
      <w:r>
        <w:rPr>
          <w:rFonts w:ascii="Times New Roman" w:hAnsi="Times New Roman"/>
          <w:sz w:val="24"/>
          <w:szCs w:val="24"/>
          <w:lang w:val="fr-FR"/>
        </w:rPr>
        <w:t>é</w:t>
      </w:r>
      <w:r>
        <w:rPr>
          <w:rFonts w:ascii="Times New Roman" w:hAnsi="Times New Roman"/>
          <w:sz w:val="24"/>
          <w:szCs w:val="24"/>
        </w:rPr>
        <w:t>m postavení, že by pro něj nebo pro jeho rodinu mohl mít výkon rozhodnutí zvláště nepřízniv</w:t>
      </w:r>
      <w:r>
        <w:rPr>
          <w:rFonts w:ascii="Times New Roman" w:hAnsi="Times New Roman"/>
          <w:sz w:val="24"/>
          <w:szCs w:val="24"/>
          <w:lang w:val="fr-FR"/>
        </w:rPr>
        <w:t xml:space="preserve">é </w:t>
      </w:r>
      <w:r>
        <w:rPr>
          <w:rFonts w:ascii="Times New Roman" w:hAnsi="Times New Roman"/>
          <w:sz w:val="24"/>
          <w:szCs w:val="24"/>
        </w:rPr>
        <w:t xml:space="preserve">následky a na druhou stranu by </w:t>
      </w:r>
      <w:r>
        <w:rPr>
          <w:rFonts w:ascii="Times New Roman" w:hAnsi="Times New Roman"/>
          <w:sz w:val="24"/>
          <w:szCs w:val="24"/>
          <w:lang w:val="it-IT"/>
        </w:rPr>
        <w:t>opr</w:t>
      </w:r>
      <w:r>
        <w:rPr>
          <w:rFonts w:ascii="Times New Roman" w:hAnsi="Times New Roman"/>
          <w:sz w:val="24"/>
          <w:szCs w:val="24"/>
        </w:rPr>
        <w:t>ávněný nebyl odkladem výkonu rozhodnutí nijak vážně poš</w:t>
      </w:r>
      <w:r>
        <w:rPr>
          <w:rFonts w:ascii="Times New Roman" w:hAnsi="Times New Roman"/>
          <w:sz w:val="24"/>
          <w:szCs w:val="24"/>
          <w:lang w:val="nl-NL"/>
        </w:rPr>
        <w:t>kozen</w:t>
      </w:r>
      <w:r>
        <w:rPr>
          <w:rFonts w:ascii="Times New Roman" w:hAnsi="Times New Roman"/>
          <w:sz w:val="24"/>
          <w:szCs w:val="24"/>
        </w:rPr>
        <w:t xml:space="preserve">. Zároveň může být výkon rozhodnutí soudem doložen, a to jestliže lze předpokládat, že výkon rozhodnutí bude zastaven. Výkon rozhodnutí bude podle §268 </w:t>
      </w:r>
      <w:r w:rsidR="00BF6AD2">
        <w:rPr>
          <w:rFonts w:ascii="Times New Roman" w:hAnsi="Times New Roman"/>
          <w:sz w:val="24"/>
          <w:szCs w:val="24"/>
        </w:rPr>
        <w:t xml:space="preserve">odst. 1 </w:t>
      </w:r>
      <w:r>
        <w:rPr>
          <w:rFonts w:ascii="Times New Roman" w:hAnsi="Times New Roman"/>
          <w:sz w:val="24"/>
          <w:szCs w:val="24"/>
        </w:rPr>
        <w:t>OSŘ zastaven, jestliže:</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a)</w:t>
      </w:r>
      <w:r>
        <w:rPr>
          <w:rFonts w:ascii="Times New Roman" w:hAnsi="Times New Roman"/>
          <w:i/>
          <w:iCs/>
          <w:sz w:val="24"/>
          <w:szCs w:val="24"/>
          <w:shd w:val="clear" w:color="auto" w:fill="FFFFFF"/>
        </w:rPr>
        <w:t xml:space="preserve"> byl naří</w:t>
      </w:r>
      <w:r>
        <w:rPr>
          <w:rFonts w:ascii="Times New Roman" w:hAnsi="Times New Roman"/>
          <w:i/>
          <w:iCs/>
          <w:sz w:val="24"/>
          <w:szCs w:val="24"/>
          <w:shd w:val="clear" w:color="auto" w:fill="FFFFFF"/>
          <w:lang w:val="de-DE"/>
        </w:rPr>
        <w:t>zen, a</w:t>
      </w:r>
      <w:r>
        <w:rPr>
          <w:rFonts w:ascii="Times New Roman" w:hAnsi="Times New Roman"/>
          <w:i/>
          <w:iCs/>
          <w:sz w:val="24"/>
          <w:szCs w:val="24"/>
          <w:shd w:val="clear" w:color="auto" w:fill="FFFFFF"/>
        </w:rPr>
        <w:t>čkoli se rozhodnutí dosud nestalo vykonatelným;</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b)</w:t>
      </w:r>
      <w:r>
        <w:rPr>
          <w:rFonts w:ascii="Times New Roman" w:hAnsi="Times New Roman"/>
          <w:i/>
          <w:iCs/>
          <w:sz w:val="24"/>
          <w:szCs w:val="24"/>
          <w:shd w:val="clear" w:color="auto" w:fill="FFFFFF"/>
        </w:rPr>
        <w:t xml:space="preserve"> rozhodnutí, kter</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je podkladem výkonu, bylo po nařízení výkonu zrušeno nebo se stalo neúčinným;</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c)</w:t>
      </w:r>
      <w:r>
        <w:rPr>
          <w:rFonts w:ascii="Times New Roman" w:hAnsi="Times New Roman"/>
          <w:i/>
          <w:iCs/>
          <w:sz w:val="24"/>
          <w:szCs w:val="24"/>
          <w:shd w:val="clear" w:color="auto" w:fill="FFFFFF"/>
        </w:rPr>
        <w:t xml:space="preserve"> zastavení výkonu rozhodnutí navrhl ten, kdo navrhl jeho nařízení;</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d)</w:t>
      </w:r>
      <w:r>
        <w:rPr>
          <w:rFonts w:ascii="Times New Roman" w:hAnsi="Times New Roman"/>
          <w:i/>
          <w:iCs/>
          <w:sz w:val="24"/>
          <w:szCs w:val="24"/>
          <w:shd w:val="clear" w:color="auto" w:fill="FFFFFF"/>
        </w:rPr>
        <w:t xml:space="preserve"> výkon rozhodnutí postihuje věci, kter</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jsou z něho podle § 321 a 322 vyloučeny nebo majetek, ze kter</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nelze vymáhanou pohledávku uspokojit;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e)</w:t>
      </w:r>
      <w:r>
        <w:rPr>
          <w:rFonts w:ascii="Times New Roman" w:hAnsi="Times New Roman"/>
          <w:i/>
          <w:iCs/>
          <w:sz w:val="24"/>
          <w:szCs w:val="24"/>
          <w:shd w:val="clear" w:color="auto" w:fill="FFFFFF"/>
        </w:rPr>
        <w:t xml:space="preserve"> průběh výkonu rozhodnutí ukazuje, že výtěžek, kter</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jím bude dosaženo, nepostačí ani ke krytí jeho nákladů;</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f)</w:t>
      </w:r>
      <w:r>
        <w:rPr>
          <w:rFonts w:ascii="Times New Roman" w:hAnsi="Times New Roman"/>
          <w:i/>
          <w:iCs/>
          <w:sz w:val="24"/>
          <w:szCs w:val="24"/>
          <w:shd w:val="clear" w:color="auto" w:fill="FFFFFF"/>
        </w:rPr>
        <w:t xml:space="preserve"> bylo pravomocně rozhodnuto, že výkon rozhodnutí postihuje majetek, k němuž má někdo právo nepř</w:t>
      </w:r>
      <w:r>
        <w:rPr>
          <w:rFonts w:ascii="Times New Roman" w:hAnsi="Times New Roman"/>
          <w:i/>
          <w:iCs/>
          <w:sz w:val="24"/>
          <w:szCs w:val="24"/>
          <w:shd w:val="clear" w:color="auto" w:fill="FFFFFF"/>
          <w:lang w:val="fr-FR"/>
        </w:rPr>
        <w:t>ipou</w:t>
      </w:r>
      <w:r>
        <w:rPr>
          <w:rFonts w:ascii="Times New Roman" w:hAnsi="Times New Roman"/>
          <w:i/>
          <w:iCs/>
          <w:sz w:val="24"/>
          <w:szCs w:val="24"/>
          <w:shd w:val="clear" w:color="auto" w:fill="FFFFFF"/>
        </w:rPr>
        <w:t>štějící výkon rozhodnutí (§ 267);</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g)</w:t>
      </w:r>
      <w:r>
        <w:rPr>
          <w:rFonts w:ascii="Times New Roman" w:hAnsi="Times New Roman"/>
          <w:i/>
          <w:iCs/>
          <w:sz w:val="24"/>
          <w:szCs w:val="24"/>
          <w:shd w:val="clear" w:color="auto" w:fill="FFFFFF"/>
        </w:rPr>
        <w:t xml:space="preserve"> po vydání rozhodnutí zaniklo právo jí</w:t>
      </w:r>
      <w:r>
        <w:rPr>
          <w:rFonts w:ascii="Times New Roman" w:hAnsi="Times New Roman"/>
          <w:i/>
          <w:iCs/>
          <w:sz w:val="24"/>
          <w:szCs w:val="24"/>
          <w:shd w:val="clear" w:color="auto" w:fill="FFFFFF"/>
          <w:lang w:val="pt-PT"/>
        </w:rPr>
        <w:t>m p</w:t>
      </w:r>
      <w:r>
        <w:rPr>
          <w:rFonts w:ascii="Times New Roman" w:hAnsi="Times New Roman"/>
          <w:i/>
          <w:iCs/>
          <w:sz w:val="24"/>
          <w:szCs w:val="24"/>
          <w:shd w:val="clear" w:color="auto" w:fill="FFFFFF"/>
        </w:rPr>
        <w:t>řiznan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lang w:val="sv-SE"/>
        </w:rPr>
        <w:t>, leda</w:t>
      </w:r>
      <w:r>
        <w:rPr>
          <w:rFonts w:ascii="Times New Roman" w:hAnsi="Times New Roman"/>
          <w:i/>
          <w:iCs/>
          <w:sz w:val="24"/>
          <w:szCs w:val="24"/>
          <w:shd w:val="clear" w:color="auto" w:fill="FFFFFF"/>
        </w:rPr>
        <w:t>že byl tento výkon rozhodnutí již proveden; bylo-li právo přiznáno rozsudkem pro zmeškání, bude výkon rozhodnutí zastaven i tehdy, jestliže právo zaniklo před vydáním tohoto rozsudku;</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Fonts w:ascii="Times New Roman" w:hAnsi="Times New Roman"/>
          <w:b/>
          <w:bCs/>
          <w:i/>
          <w:iCs/>
          <w:sz w:val="24"/>
          <w:szCs w:val="24"/>
          <w:shd w:val="clear" w:color="auto" w:fill="FFFFFF"/>
        </w:rPr>
        <w:t>h)</w:t>
      </w:r>
      <w:r>
        <w:rPr>
          <w:rFonts w:ascii="Times New Roman" w:hAnsi="Times New Roman"/>
          <w:i/>
          <w:iCs/>
          <w:sz w:val="24"/>
          <w:szCs w:val="24"/>
          <w:shd w:val="clear" w:color="auto" w:fill="FFFFFF"/>
        </w:rPr>
        <w:t xml:space="preserve"> výkon rozhodnutí je nepřípustný, protože je tu jiný důvod, pro který rozhodnutí nelze vykonat.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Co se týče nákladů výkonů rozhodnutí, tak má oprávněný nárok na náhradu všech účelný</w:t>
      </w:r>
      <w:r>
        <w:rPr>
          <w:rFonts w:ascii="Times New Roman" w:hAnsi="Times New Roman"/>
          <w:sz w:val="24"/>
          <w:szCs w:val="24"/>
          <w:shd w:val="clear" w:color="auto" w:fill="FFFFFF"/>
          <w:lang w:val="de-DE"/>
        </w:rPr>
        <w:t>ch n</w:t>
      </w:r>
      <w:r>
        <w:rPr>
          <w:rFonts w:ascii="Times New Roman" w:hAnsi="Times New Roman"/>
          <w:sz w:val="24"/>
          <w:szCs w:val="24"/>
          <w:shd w:val="clear" w:color="auto" w:fill="FFFFFF"/>
        </w:rPr>
        <w:t>ákladů výkonu rozhodnutí. Povinnost k náhradě nákladů výkonu rozhodnutí spolu s nařízením výkonu rozhodnutí stanoví soud.</w:t>
      </w:r>
      <w:r w:rsidR="00BF6AD2">
        <w:rPr>
          <w:rStyle w:val="Znakapoznpodarou"/>
          <w:rFonts w:ascii="Times New Roman" w:hAnsi="Times New Roman"/>
          <w:sz w:val="24"/>
          <w:szCs w:val="24"/>
          <w:shd w:val="clear" w:color="auto" w:fill="FFFFFF"/>
        </w:rPr>
        <w:footnoteReference w:id="79"/>
      </w:r>
    </w:p>
    <w:p w:rsidR="009B70FF" w:rsidRPr="00FF32DF" w:rsidRDefault="009B70FF" w:rsidP="007A2179">
      <w:pPr>
        <w:pStyle w:val="Nadpis3"/>
        <w:numPr>
          <w:ilvl w:val="2"/>
          <w:numId w:val="34"/>
        </w:numPr>
        <w:pBdr>
          <w:top w:val="nil"/>
          <w:left w:val="nil"/>
          <w:bottom w:val="nil"/>
          <w:right w:val="nil"/>
          <w:between w:val="nil"/>
          <w:bar w:val="nil"/>
        </w:pBdr>
        <w:spacing w:before="200" w:line="276" w:lineRule="auto"/>
        <w:jc w:val="left"/>
        <w:rPr>
          <w:rFonts w:eastAsia="Times New Roman" w:cs="Times New Roman"/>
          <w:color w:val="000000"/>
          <w:szCs w:val="24"/>
        </w:rPr>
      </w:pPr>
      <w:bookmarkStart w:id="73" w:name="_Toc18276739"/>
      <w:bookmarkStart w:id="74" w:name="_Toc18313959"/>
      <w:bookmarkStart w:id="75" w:name="_Toc24"/>
      <w:r w:rsidRPr="00FF32DF">
        <w:rPr>
          <w:color w:val="000000"/>
          <w:szCs w:val="24"/>
          <w:u w:color="000000"/>
        </w:rPr>
        <w:t>Soudní exekuce nařízená soudem a provedená exekutorem</w:t>
      </w:r>
      <w:bookmarkEnd w:id="73"/>
      <w:bookmarkEnd w:id="74"/>
      <w:r w:rsidRPr="00FF32DF">
        <w:rPr>
          <w:color w:val="000000"/>
          <w:szCs w:val="24"/>
          <w:u w:color="000000"/>
        </w:rPr>
        <w:t xml:space="preserve"> </w:t>
      </w:r>
      <w:bookmarkEnd w:id="75"/>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b/>
        <w:t xml:space="preserve">Exekuční řízení se zahajuje na návrh věřitele, musí však disponovat vykonatelným </w:t>
      </w:r>
      <w:hyperlink r:id="rId10" w:history="1">
        <w:r>
          <w:rPr>
            <w:rStyle w:val="Hyperlink0"/>
            <w:rFonts w:ascii="Times New Roman" w:hAnsi="Times New Roman"/>
            <w:sz w:val="24"/>
            <w:szCs w:val="24"/>
            <w:shd w:val="clear" w:color="auto" w:fill="FFFFFF"/>
            <w:lang w:val="pt-PT"/>
          </w:rPr>
          <w:t>exeku</w:t>
        </w:r>
        <w:r>
          <w:rPr>
            <w:rStyle w:val="Hyperlink0"/>
            <w:rFonts w:ascii="Times New Roman" w:hAnsi="Times New Roman"/>
            <w:sz w:val="24"/>
            <w:szCs w:val="24"/>
            <w:shd w:val="clear" w:color="auto" w:fill="FFFFFF"/>
          </w:rPr>
          <w:t>čním titulem</w:t>
        </w:r>
      </w:hyperlink>
      <w:r>
        <w:rPr>
          <w:rFonts w:ascii="Times New Roman" w:hAnsi="Times New Roman"/>
          <w:sz w:val="24"/>
          <w:szCs w:val="24"/>
          <w:shd w:val="clear" w:color="auto" w:fill="FFFFFF"/>
        </w:rPr>
        <w:t>. Věřitel neboli oprávněný z exekučního titulu můž</w:t>
      </w:r>
      <w:r>
        <w:rPr>
          <w:rFonts w:ascii="Times New Roman" w:hAnsi="Times New Roman"/>
          <w:sz w:val="24"/>
          <w:szCs w:val="24"/>
          <w:shd w:val="clear" w:color="auto" w:fill="FFFFFF"/>
          <w:lang w:val="nl-NL"/>
        </w:rPr>
        <w:t>e podat exeku</w:t>
      </w:r>
      <w:r>
        <w:rPr>
          <w:rFonts w:ascii="Times New Roman" w:hAnsi="Times New Roman"/>
          <w:sz w:val="24"/>
          <w:szCs w:val="24"/>
          <w:shd w:val="clear" w:color="auto" w:fill="FFFFFF"/>
        </w:rPr>
        <w:t>ční návrh, jestliže dlužník neboli povinný dobrovolně nesplnil to, co mu ukládal</w:t>
      </w:r>
      <w:r>
        <w:rPr>
          <w:rFonts w:ascii="Times New Roman" w:hAnsi="Times New Roman"/>
          <w:sz w:val="24"/>
          <w:szCs w:val="24"/>
          <w:shd w:val="clear" w:color="auto" w:fill="FFFFFF"/>
          <w:lang w:val="pt-PT"/>
        </w:rPr>
        <w:t xml:space="preserve"> exeku</w:t>
      </w:r>
      <w:r>
        <w:rPr>
          <w:rFonts w:ascii="Times New Roman" w:hAnsi="Times New Roman"/>
          <w:sz w:val="24"/>
          <w:szCs w:val="24"/>
          <w:shd w:val="clear" w:color="auto" w:fill="FFFFFF"/>
        </w:rPr>
        <w:t xml:space="preserve">ční titul. Návrh může být podán, jestliže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 xml:space="preserve">čním titulem není rozhodnutí </w:t>
      </w:r>
      <w:r>
        <w:rPr>
          <w:rFonts w:ascii="Times New Roman" w:hAnsi="Times New Roman"/>
          <w:sz w:val="24"/>
          <w:szCs w:val="24"/>
          <w:shd w:val="clear" w:color="auto" w:fill="FFFFFF"/>
          <w:lang w:val="en-US"/>
        </w:rPr>
        <w:t>o p</w:t>
      </w:r>
      <w:r>
        <w:rPr>
          <w:rFonts w:ascii="Times New Roman" w:hAnsi="Times New Roman"/>
          <w:sz w:val="24"/>
          <w:szCs w:val="24"/>
          <w:shd w:val="clear" w:color="auto" w:fill="FFFFFF"/>
        </w:rPr>
        <w:t>éči o nezletil</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děti, ve věcech ochrany proti domácímu násilí</w:t>
      </w:r>
      <w:r>
        <w:rPr>
          <w:rFonts w:ascii="Times New Roman" w:hAnsi="Times New Roman"/>
          <w:sz w:val="24"/>
          <w:szCs w:val="24"/>
          <w:shd w:val="clear" w:color="auto" w:fill="FFFFFF"/>
          <w:lang w:val="en-US"/>
        </w:rPr>
        <w:t>, org</w:t>
      </w:r>
      <w:r>
        <w:rPr>
          <w:rFonts w:ascii="Times New Roman" w:hAnsi="Times New Roman"/>
          <w:sz w:val="24"/>
          <w:szCs w:val="24"/>
          <w:shd w:val="clear" w:color="auto" w:fill="FFFFFF"/>
        </w:rPr>
        <w:t>ánů Evropsk</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unie nebo cizí rozhodnutí.</w:t>
      </w:r>
      <w:r w:rsidR="00BF6AD2">
        <w:rPr>
          <w:rStyle w:val="Znakapoznpodarou"/>
          <w:rFonts w:ascii="Times New Roman" w:hAnsi="Times New Roman"/>
          <w:sz w:val="24"/>
          <w:szCs w:val="24"/>
          <w:shd w:val="clear" w:color="auto" w:fill="FFFFFF"/>
        </w:rPr>
        <w:footnoteReference w:id="80"/>
      </w:r>
      <w:r>
        <w:rPr>
          <w:rFonts w:ascii="Times New Roman" w:hAnsi="Times New Roman"/>
          <w:sz w:val="24"/>
          <w:szCs w:val="24"/>
          <w:shd w:val="clear" w:color="auto" w:fill="FFFFFF"/>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V t</w:t>
      </w:r>
      <w:r>
        <w:rPr>
          <w:rFonts w:ascii="Times New Roman" w:hAnsi="Times New Roman"/>
          <w:sz w:val="24"/>
          <w:szCs w:val="24"/>
          <w:shd w:val="clear" w:color="auto" w:fill="FFFFFF"/>
        </w:rPr>
        <w:t xml:space="preserve">ěchto případech lze podat návrh tehdy, má-li být exekuce vedena podle rozhodnutí </w:t>
      </w:r>
      <w:r>
        <w:rPr>
          <w:rFonts w:ascii="Times New Roman" w:hAnsi="Times New Roman"/>
          <w:sz w:val="24"/>
          <w:szCs w:val="24"/>
          <w:shd w:val="clear" w:color="auto" w:fill="FFFFFF"/>
          <w:lang w:val="it-IT"/>
        </w:rPr>
        <w:t>o v</w:t>
      </w:r>
      <w:r>
        <w:rPr>
          <w:rFonts w:ascii="Times New Roman" w:hAnsi="Times New Roman"/>
          <w:sz w:val="24"/>
          <w:szCs w:val="24"/>
          <w:shd w:val="clear" w:color="auto" w:fill="FFFFFF"/>
        </w:rPr>
        <w:t>ýživn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 na nezletil</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dě</w:t>
      </w:r>
      <w:r>
        <w:rPr>
          <w:rFonts w:ascii="Times New Roman" w:hAnsi="Times New Roman"/>
          <w:sz w:val="24"/>
          <w:szCs w:val="24"/>
          <w:shd w:val="clear" w:color="auto" w:fill="FFFFFF"/>
          <w:lang w:val="it-IT"/>
        </w:rPr>
        <w:t xml:space="preserve">ti </w:t>
      </w:r>
      <w:r>
        <w:rPr>
          <w:rFonts w:ascii="Times New Roman" w:hAnsi="Times New Roman"/>
          <w:sz w:val="24"/>
          <w:szCs w:val="24"/>
          <w:shd w:val="clear" w:color="auto" w:fill="FFFFFF"/>
        </w:rPr>
        <w:t>či podle cizího rozhodnutí, u něhož bylo vydáno prohlášení vykonatelnosti podle pří</w:t>
      </w:r>
      <w:r>
        <w:rPr>
          <w:rFonts w:ascii="Times New Roman" w:hAnsi="Times New Roman"/>
          <w:sz w:val="24"/>
          <w:szCs w:val="24"/>
          <w:shd w:val="clear" w:color="auto" w:fill="FFFFFF"/>
          <w:lang w:val="pt-PT"/>
        </w:rPr>
        <w:t>mo pou</w:t>
      </w:r>
      <w:r>
        <w:rPr>
          <w:rFonts w:ascii="Times New Roman" w:hAnsi="Times New Roman"/>
          <w:sz w:val="24"/>
          <w:szCs w:val="24"/>
          <w:shd w:val="clear" w:color="auto" w:fill="FFFFFF"/>
        </w:rPr>
        <w:t>žiteln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ho předpisu Evropsk</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unie nebo mezinárodní smlouvy nebo rozhodnuto o uznání.</w:t>
      </w:r>
      <w:r w:rsidR="00BF6AD2">
        <w:rPr>
          <w:rStyle w:val="Znakapoznpodarou"/>
          <w:rFonts w:ascii="Times New Roman" w:hAnsi="Times New Roman"/>
          <w:sz w:val="24"/>
          <w:szCs w:val="24"/>
          <w:shd w:val="clear" w:color="auto" w:fill="FFFFFF"/>
        </w:rPr>
        <w:footnoteReference w:id="81"/>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t>Exeku</w:t>
      </w:r>
      <w:r>
        <w:rPr>
          <w:rFonts w:ascii="Times New Roman" w:hAnsi="Times New Roman"/>
          <w:sz w:val="24"/>
          <w:szCs w:val="24"/>
          <w:shd w:val="clear" w:color="auto" w:fill="FFFFFF"/>
        </w:rPr>
        <w:t>ční návrh musí mít materiální a formální náležitosti.</w:t>
      </w:r>
      <w:r>
        <w:rPr>
          <w:rStyle w:val="Znakapoznpodarou"/>
          <w:rFonts w:ascii="Times New Roman" w:eastAsia="Times New Roman" w:hAnsi="Times New Roman" w:cs="Times New Roman"/>
          <w:sz w:val="24"/>
          <w:szCs w:val="24"/>
          <w:shd w:val="clear" w:color="auto" w:fill="FFFFFF"/>
        </w:rPr>
        <w:footnoteReference w:id="82"/>
      </w:r>
      <w:r>
        <w:rPr>
          <w:rFonts w:ascii="Times New Roman" w:hAnsi="Times New Roman"/>
          <w:sz w:val="24"/>
          <w:szCs w:val="24"/>
          <w:shd w:val="clear" w:color="auto" w:fill="FFFFFF"/>
        </w:rPr>
        <w:t xml:space="preserve"> Musí v něm být označen exekutor, jež má exekuci v</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st. Z návrhu musí bý</w:t>
      </w:r>
      <w:r>
        <w:rPr>
          <w:rFonts w:ascii="Times New Roman" w:hAnsi="Times New Roman"/>
          <w:sz w:val="24"/>
          <w:szCs w:val="24"/>
          <w:shd w:val="clear" w:color="auto" w:fill="FFFFFF"/>
          <w:lang w:val="fr-FR"/>
        </w:rPr>
        <w:t>t d</w:t>
      </w:r>
      <w:r>
        <w:rPr>
          <w:rFonts w:ascii="Times New Roman" w:hAnsi="Times New Roman"/>
          <w:sz w:val="24"/>
          <w:szCs w:val="24"/>
          <w:shd w:val="clear" w:color="auto" w:fill="FFFFFF"/>
        </w:rPr>
        <w:t>ále jasné, kdo ho činí, kter</w:t>
      </w:r>
      <w:r>
        <w:rPr>
          <w:rFonts w:ascii="Times New Roman" w:hAnsi="Times New Roman"/>
          <w:sz w:val="24"/>
          <w:szCs w:val="24"/>
          <w:shd w:val="clear" w:color="auto" w:fill="FFFFFF"/>
          <w:lang w:val="fr-FR"/>
        </w:rPr>
        <w:t xml:space="preserve">é </w:t>
      </w:r>
      <w:r>
        <w:rPr>
          <w:rFonts w:ascii="Times New Roman" w:hAnsi="Times New Roman"/>
          <w:sz w:val="24"/>
          <w:szCs w:val="24"/>
          <w:shd w:val="clear" w:color="auto" w:fill="FFFFFF"/>
        </w:rPr>
        <w:t xml:space="preserve">věci se týká </w:t>
      </w:r>
      <w:r>
        <w:rPr>
          <w:rFonts w:ascii="Times New Roman" w:hAnsi="Times New Roman"/>
          <w:sz w:val="24"/>
          <w:szCs w:val="24"/>
          <w:shd w:val="clear" w:color="auto" w:fill="FFFFFF"/>
          <w:lang w:val="it-IT"/>
        </w:rPr>
        <w:t>a mus</w:t>
      </w:r>
      <w:r>
        <w:rPr>
          <w:rFonts w:ascii="Times New Roman" w:hAnsi="Times New Roman"/>
          <w:sz w:val="24"/>
          <w:szCs w:val="24"/>
          <w:shd w:val="clear" w:color="auto" w:fill="FFFFFF"/>
        </w:rPr>
        <w:t>í v něm být datum a podpis. Exekuční návrh musí obsahovat jm</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lang w:val="it-IT"/>
        </w:rPr>
        <w:t>no, a p</w:t>
      </w:r>
      <w:r>
        <w:rPr>
          <w:rFonts w:ascii="Times New Roman" w:hAnsi="Times New Roman"/>
          <w:sz w:val="24"/>
          <w:szCs w:val="24"/>
          <w:shd w:val="clear" w:color="auto" w:fill="FFFFFF"/>
        </w:rPr>
        <w:t xml:space="preserve">říjmení účastníků, trvalé bydliště, rodné číslo nebo datum narození. V případě obchodní firmy musí návrh obsahovat název, sídlo a identifikační číslo, označení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čního titulu, povinnost, která má být vymož</w:t>
      </w:r>
      <w:r>
        <w:rPr>
          <w:rFonts w:ascii="Times New Roman" w:hAnsi="Times New Roman"/>
          <w:sz w:val="24"/>
          <w:szCs w:val="24"/>
          <w:shd w:val="clear" w:color="auto" w:fill="FFFFFF"/>
          <w:lang w:val="de-DE"/>
        </w:rPr>
        <w:t xml:space="preserve">ena, </w:t>
      </w:r>
      <w:r>
        <w:rPr>
          <w:rFonts w:ascii="Times New Roman" w:hAnsi="Times New Roman"/>
          <w:sz w:val="24"/>
          <w:szCs w:val="24"/>
          <w:shd w:val="clear" w:color="auto" w:fill="FFFFFF"/>
        </w:rPr>
        <w:t xml:space="preserve">a označení důkazů. K návrhu musí být připojen originál či kopie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 xml:space="preserve">čního titulu opatřeného potvrzením o jeho vykonatelnosti. Jestliže </w:t>
      </w:r>
      <w:r>
        <w:rPr>
          <w:rFonts w:ascii="Times New Roman" w:hAnsi="Times New Roman"/>
          <w:sz w:val="24"/>
          <w:szCs w:val="24"/>
          <w:shd w:val="clear" w:color="auto" w:fill="FFFFFF"/>
          <w:lang w:val="pt-PT"/>
        </w:rPr>
        <w:t>exeku</w:t>
      </w:r>
      <w:r>
        <w:rPr>
          <w:rFonts w:ascii="Times New Roman" w:hAnsi="Times New Roman"/>
          <w:sz w:val="24"/>
          <w:szCs w:val="24"/>
          <w:shd w:val="clear" w:color="auto" w:fill="FFFFFF"/>
        </w:rPr>
        <w:t xml:space="preserve">ční návrh neobsahuje veškeré náležitosti nebo je nesrozumitelný anebo neurčitý, exekutor vyzve oprávněného, aby návrh opravil nebo doplnil, a to ve lhůtě 15 dnů a </w:t>
      </w:r>
      <w:r>
        <w:rPr>
          <w:rFonts w:ascii="Times New Roman" w:hAnsi="Times New Roman"/>
          <w:sz w:val="24"/>
          <w:szCs w:val="24"/>
          <w:shd w:val="clear" w:color="auto" w:fill="FFFFFF"/>
          <w:lang w:val="fr-FR"/>
        </w:rPr>
        <w:t>pou</w:t>
      </w:r>
      <w:r>
        <w:rPr>
          <w:rFonts w:ascii="Times New Roman" w:hAnsi="Times New Roman"/>
          <w:sz w:val="24"/>
          <w:szCs w:val="24"/>
          <w:shd w:val="clear" w:color="auto" w:fill="FFFFFF"/>
        </w:rPr>
        <w:t>čí jej o tom, jak je třeba opravu nebo doplnění prov</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st.</w:t>
      </w:r>
      <w:r w:rsidR="00BF6AD2">
        <w:rPr>
          <w:rStyle w:val="Znakapoznpodarou"/>
          <w:rFonts w:ascii="Times New Roman" w:hAnsi="Times New Roman"/>
          <w:sz w:val="24"/>
          <w:szCs w:val="24"/>
          <w:shd w:val="clear" w:color="auto" w:fill="FFFFFF"/>
        </w:rPr>
        <w:footnoteReference w:id="83"/>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sz w:val="24"/>
          <w:szCs w:val="24"/>
          <w:shd w:val="clear" w:color="auto" w:fill="FFFFFF"/>
        </w:rPr>
      </w:pPr>
      <w:r>
        <w:rPr>
          <w:rFonts w:ascii="Times New Roman" w:hAnsi="Times New Roman"/>
          <w:sz w:val="24"/>
          <w:szCs w:val="24"/>
        </w:rPr>
        <w:tab/>
        <w:t>Exekuce je následně zapsána do rejstříku zahájených exekucí, a pak je na exekutorovi, jaký zvolí způsob provedení exekuce. Na rozdíl od jiných exekučních orgánů má soudní exekutor možnost způsoby kombinovat a také má možnost odebrání řidičského oprávnění. Následně je vydán exekuční příkaz k provedení exekuce určitým způsobem. Tento způsob exekutor volí podle vhodnosti a přiměřenosti pohledávky.</w:t>
      </w:r>
      <w:r w:rsidR="00BF6AD2">
        <w:rPr>
          <w:rStyle w:val="Znakapoznpodarou"/>
          <w:rFonts w:ascii="Times New Roman" w:hAnsi="Times New Roman"/>
          <w:sz w:val="24"/>
          <w:szCs w:val="24"/>
        </w:rPr>
        <w:footnoteReference w:id="84"/>
      </w:r>
      <w:r>
        <w:rPr>
          <w:rFonts w:ascii="Times New Roman" w:hAnsi="Times New Roman"/>
          <w:sz w:val="24"/>
          <w:szCs w:val="24"/>
        </w:rPr>
        <w:t xml:space="preserve"> V písemn</w:t>
      </w:r>
      <w:r>
        <w:rPr>
          <w:rFonts w:ascii="Times New Roman" w:hAnsi="Times New Roman"/>
          <w:sz w:val="24"/>
          <w:szCs w:val="24"/>
          <w:lang w:val="fr-FR"/>
        </w:rPr>
        <w:t>é</w:t>
      </w:r>
      <w:r>
        <w:rPr>
          <w:rFonts w:ascii="Times New Roman" w:hAnsi="Times New Roman"/>
          <w:sz w:val="24"/>
          <w:szCs w:val="24"/>
        </w:rPr>
        <w:t xml:space="preserve">m vyhotovení </w:t>
      </w:r>
      <w:r>
        <w:rPr>
          <w:rFonts w:ascii="Times New Roman" w:hAnsi="Times New Roman"/>
          <w:sz w:val="24"/>
          <w:szCs w:val="24"/>
          <w:lang w:val="pt-PT"/>
        </w:rPr>
        <w:t>exeku</w:t>
      </w:r>
      <w:r>
        <w:rPr>
          <w:rFonts w:ascii="Times New Roman" w:hAnsi="Times New Roman"/>
          <w:sz w:val="24"/>
          <w:szCs w:val="24"/>
        </w:rPr>
        <w:t>čního příkazu exekutor uvede:</w:t>
      </w:r>
    </w:p>
    <w:p w:rsidR="009B70FF" w:rsidRDefault="00BF6AD2"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w:t>
      </w:r>
      <w:r w:rsidR="009B70FF">
        <w:rPr>
          <w:rStyle w:val="dn"/>
          <w:rFonts w:ascii="Times New Roman" w:hAnsi="Times New Roman"/>
          <w:b/>
          <w:bCs/>
          <w:i/>
          <w:iCs/>
          <w:sz w:val="24"/>
          <w:szCs w:val="24"/>
          <w:shd w:val="clear" w:color="auto" w:fill="FFFFFF"/>
        </w:rPr>
        <w:t>a)</w:t>
      </w:r>
      <w:r w:rsidR="009B70FF">
        <w:rPr>
          <w:rFonts w:ascii="Times New Roman" w:hAnsi="Times New Roman"/>
          <w:i/>
          <w:iCs/>
          <w:sz w:val="24"/>
          <w:szCs w:val="24"/>
          <w:shd w:val="clear" w:color="auto" w:fill="FFFFFF"/>
          <w:lang w:val="pt-PT"/>
        </w:rPr>
        <w:t xml:space="preserve"> exeku</w:t>
      </w:r>
      <w:r w:rsidR="009B70FF">
        <w:rPr>
          <w:rFonts w:ascii="Times New Roman" w:hAnsi="Times New Roman"/>
          <w:i/>
          <w:iCs/>
          <w:sz w:val="24"/>
          <w:szCs w:val="24"/>
          <w:shd w:val="clear" w:color="auto" w:fill="FFFFFF"/>
        </w:rPr>
        <w:t>ční soud,</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b)</w:t>
      </w:r>
      <w:r>
        <w:rPr>
          <w:rFonts w:ascii="Times New Roman" w:hAnsi="Times New Roman"/>
          <w:i/>
          <w:iCs/>
          <w:sz w:val="24"/>
          <w:szCs w:val="24"/>
          <w:shd w:val="clear" w:color="auto" w:fill="FFFFFF"/>
        </w:rPr>
        <w:t xml:space="preserve"> označení exekutora, který vede exekuční řízení,</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c)</w:t>
      </w:r>
      <w:r>
        <w:rPr>
          <w:rFonts w:ascii="Times New Roman" w:hAnsi="Times New Roman"/>
          <w:i/>
          <w:iCs/>
          <w:sz w:val="24"/>
          <w:szCs w:val="24"/>
          <w:shd w:val="clear" w:color="auto" w:fill="FFFFFF"/>
          <w:lang w:val="pt-PT"/>
        </w:rPr>
        <w:t xml:space="preserve"> exeku</w:t>
      </w:r>
      <w:r>
        <w:rPr>
          <w:rFonts w:ascii="Times New Roman" w:hAnsi="Times New Roman"/>
          <w:i/>
          <w:iCs/>
          <w:sz w:val="24"/>
          <w:szCs w:val="24"/>
          <w:shd w:val="clear" w:color="auto" w:fill="FFFFFF"/>
        </w:rPr>
        <w:t>ční titul a orgán, který jej vydal, nebo osobu, která jej vyhotovila,</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d)</w:t>
      </w:r>
      <w:r>
        <w:rPr>
          <w:rFonts w:ascii="Times New Roman" w:hAnsi="Times New Roman"/>
          <w:i/>
          <w:iCs/>
          <w:sz w:val="24"/>
          <w:szCs w:val="24"/>
          <w:shd w:val="clear" w:color="auto" w:fill="FFFFFF"/>
        </w:rPr>
        <w:t xml:space="preserve"> označení účastníků včetně rodn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čísla povinn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lze-li je zjistit,</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e)</w:t>
      </w:r>
      <w:r>
        <w:rPr>
          <w:rFonts w:ascii="Times New Roman" w:hAnsi="Times New Roman"/>
          <w:i/>
          <w:iCs/>
          <w:sz w:val="24"/>
          <w:szCs w:val="24"/>
          <w:shd w:val="clear" w:color="auto" w:fill="FFFFFF"/>
        </w:rPr>
        <w:t xml:space="preserve"> označení povinnosti, která má být exekucí vymožena,</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f)</w:t>
      </w:r>
      <w:r>
        <w:rPr>
          <w:rFonts w:ascii="Times New Roman" w:hAnsi="Times New Roman"/>
          <w:i/>
          <w:iCs/>
          <w:sz w:val="24"/>
          <w:szCs w:val="24"/>
          <w:shd w:val="clear" w:color="auto" w:fill="FFFFFF"/>
        </w:rPr>
        <w:t xml:space="preserve"> způsob provedení exekuce a číslo účtu oprávněn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nebo exekutora veden</w:t>
      </w:r>
      <w:r>
        <w:rPr>
          <w:rFonts w:ascii="Times New Roman" w:hAnsi="Times New Roman"/>
          <w:i/>
          <w:iCs/>
          <w:sz w:val="24"/>
          <w:szCs w:val="24"/>
          <w:shd w:val="clear" w:color="auto" w:fill="FFFFFF"/>
          <w:lang w:val="fr-FR"/>
        </w:rPr>
        <w:t>é</w:t>
      </w:r>
      <w:r>
        <w:rPr>
          <w:rFonts w:ascii="Times New Roman" w:hAnsi="Times New Roman"/>
          <w:i/>
          <w:iCs/>
          <w:sz w:val="24"/>
          <w:szCs w:val="24"/>
          <w:shd w:val="clear" w:color="auto" w:fill="FFFFFF"/>
        </w:rPr>
        <w:t>ho u peněžního ústavu, je-li číslo účtu potřebn</w:t>
      </w:r>
      <w:r>
        <w:rPr>
          <w:rFonts w:ascii="Times New Roman" w:hAnsi="Times New Roman"/>
          <w:i/>
          <w:iCs/>
          <w:sz w:val="24"/>
          <w:szCs w:val="24"/>
          <w:shd w:val="clear" w:color="auto" w:fill="FFFFFF"/>
          <w:lang w:val="fr-FR"/>
        </w:rPr>
        <w:t xml:space="preserve">é </w:t>
      </w:r>
      <w:r>
        <w:rPr>
          <w:rFonts w:ascii="Times New Roman" w:hAnsi="Times New Roman"/>
          <w:i/>
          <w:iCs/>
          <w:sz w:val="24"/>
          <w:szCs w:val="24"/>
          <w:shd w:val="clear" w:color="auto" w:fill="FFFFFF"/>
        </w:rPr>
        <w:t>pro způsob vedení exekuce,</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g)</w:t>
      </w:r>
      <w:r>
        <w:rPr>
          <w:rFonts w:ascii="Times New Roman" w:hAnsi="Times New Roman"/>
          <w:i/>
          <w:iCs/>
          <w:sz w:val="24"/>
          <w:szCs w:val="24"/>
          <w:shd w:val="clear" w:color="auto" w:fill="FFFFFF"/>
        </w:rPr>
        <w:t xml:space="preserve"> označení osob, kterým se doručuje exekuční příkaz,</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jc w:val="both"/>
        <w:rPr>
          <w:rFonts w:ascii="Times New Roman" w:eastAsia="Times New Roman" w:hAnsi="Times New Roman" w:cs="Times New Roman"/>
          <w:i/>
          <w:iCs/>
          <w:sz w:val="24"/>
          <w:szCs w:val="24"/>
          <w:shd w:val="clear" w:color="auto" w:fill="FFFFFF"/>
        </w:rPr>
      </w:pPr>
      <w:r>
        <w:rPr>
          <w:rStyle w:val="dn"/>
          <w:rFonts w:ascii="Times New Roman" w:hAnsi="Times New Roman"/>
          <w:b/>
          <w:bCs/>
          <w:i/>
          <w:iCs/>
          <w:sz w:val="24"/>
          <w:szCs w:val="24"/>
          <w:shd w:val="clear" w:color="auto" w:fill="FFFFFF"/>
        </w:rPr>
        <w:t>h)</w:t>
      </w:r>
      <w:r>
        <w:rPr>
          <w:rFonts w:ascii="Times New Roman" w:hAnsi="Times New Roman"/>
          <w:i/>
          <w:iCs/>
          <w:sz w:val="24"/>
          <w:szCs w:val="24"/>
          <w:shd w:val="clear" w:color="auto" w:fill="FFFFFF"/>
        </w:rPr>
        <w:t xml:space="preserve"> vý</w:t>
      </w:r>
      <w:r>
        <w:rPr>
          <w:rFonts w:ascii="Times New Roman" w:hAnsi="Times New Roman"/>
          <w:i/>
          <w:iCs/>
          <w:sz w:val="24"/>
          <w:szCs w:val="24"/>
          <w:shd w:val="clear" w:color="auto" w:fill="FFFFFF"/>
          <w:lang w:val="fr-FR"/>
        </w:rPr>
        <w:t>rok, pou</w:t>
      </w:r>
      <w:r>
        <w:rPr>
          <w:rFonts w:ascii="Times New Roman" w:hAnsi="Times New Roman"/>
          <w:i/>
          <w:iCs/>
          <w:sz w:val="24"/>
          <w:szCs w:val="24"/>
          <w:shd w:val="clear" w:color="auto" w:fill="FFFFFF"/>
        </w:rPr>
        <w:t>čení o odvolání</w:t>
      </w:r>
      <w:r>
        <w:rPr>
          <w:rFonts w:ascii="Times New Roman" w:hAnsi="Times New Roman"/>
          <w:i/>
          <w:iCs/>
          <w:sz w:val="24"/>
          <w:szCs w:val="24"/>
          <w:shd w:val="clear" w:color="auto" w:fill="FFFFFF"/>
          <w:lang w:val="es-ES_tradnl"/>
        </w:rPr>
        <w:t>, den a m</w:t>
      </w:r>
      <w:r>
        <w:rPr>
          <w:rFonts w:ascii="Times New Roman" w:hAnsi="Times New Roman"/>
          <w:i/>
          <w:iCs/>
          <w:sz w:val="24"/>
          <w:szCs w:val="24"/>
          <w:shd w:val="clear" w:color="auto" w:fill="FFFFFF"/>
        </w:rPr>
        <w:t>ísto jeho vydání a podpis exekutora.</w:t>
      </w:r>
      <w:r w:rsidR="00BF6AD2">
        <w:rPr>
          <w:rFonts w:ascii="Times New Roman" w:hAnsi="Times New Roman"/>
          <w:i/>
          <w:iCs/>
          <w:sz w:val="24"/>
          <w:szCs w:val="24"/>
          <w:shd w:val="clear" w:color="auto" w:fill="FFFFFF"/>
        </w:rPr>
        <w:t>“</w:t>
      </w:r>
      <w:r>
        <w:rPr>
          <w:rFonts w:ascii="Times New Roman" w:hAnsi="Times New Roman"/>
          <w:i/>
          <w:iCs/>
          <w:sz w:val="24"/>
          <w:szCs w:val="24"/>
          <w:shd w:val="clear" w:color="auto" w:fill="FFFFFF"/>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dn"/>
          <w:rFonts w:ascii="Times" w:eastAsia="Times" w:hAnsi="Times" w:cs="Times"/>
          <w:sz w:val="24"/>
          <w:szCs w:val="24"/>
          <w:shd w:val="clear" w:color="auto" w:fill="FFFFFF"/>
        </w:rPr>
      </w:pPr>
      <w:r>
        <w:rPr>
          <w:rFonts w:ascii="Times New Roman" w:hAnsi="Times New Roman"/>
          <w:sz w:val="24"/>
          <w:szCs w:val="24"/>
          <w:shd w:val="clear" w:color="auto" w:fill="FFFFFF"/>
        </w:rPr>
        <w:tab/>
        <w:t>Proti exekučnímu příkazu není přípustný žádný opravný prostředek. Příkaz je následně doručen, jak povinn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mu, tak oprávněn</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mu a dalším osobám, kterým se doručuje usnesení o nařízení exekuce. Okruh těchto dalších osob je určen způsobem exekuce.</w:t>
      </w:r>
      <w:r w:rsidR="00BF6AD2">
        <w:rPr>
          <w:rStyle w:val="Znakapoznpodarou"/>
          <w:rFonts w:ascii="Times New Roman" w:hAnsi="Times New Roman"/>
          <w:sz w:val="24"/>
          <w:szCs w:val="24"/>
          <w:shd w:val="clear" w:color="auto" w:fill="FFFFFF"/>
        </w:rPr>
        <w:footnoteReference w:id="85"/>
      </w:r>
      <w:r>
        <w:rPr>
          <w:rFonts w:ascii="Times New Roman" w:hAnsi="Times New Roman"/>
          <w:sz w:val="24"/>
          <w:szCs w:val="24"/>
          <w:shd w:val="clear" w:color="auto" w:fill="FFFFFF"/>
        </w:rPr>
        <w:t xml:space="preserve"> </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dn"/>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b/>
      </w:r>
      <w:r>
        <w:rPr>
          <w:rStyle w:val="dn"/>
          <w:rFonts w:ascii="Times New Roman" w:hAnsi="Times New Roman"/>
          <w:sz w:val="24"/>
          <w:szCs w:val="24"/>
          <w:shd w:val="clear" w:color="auto" w:fill="FFFFFF"/>
        </w:rPr>
        <w:t>Exekuci je možné odložit, a to na návrh podaný u exekutora, který ji vede. Návrh musí obsahovat všechny náležitosti, jinak je exekutorem odmítnut. Odložit exekuci může exekutor či</w:t>
      </w:r>
      <w:r>
        <w:rPr>
          <w:rStyle w:val="dn"/>
          <w:rFonts w:ascii="Times New Roman" w:hAnsi="Times New Roman"/>
          <w:sz w:val="24"/>
          <w:szCs w:val="24"/>
          <w:shd w:val="clear" w:color="auto" w:fill="FFFFFF"/>
          <w:lang w:val="pt-PT"/>
        </w:rPr>
        <w:t xml:space="preserve"> exeku</w:t>
      </w:r>
      <w:r>
        <w:rPr>
          <w:rStyle w:val="dn"/>
          <w:rFonts w:ascii="Times New Roman" w:hAnsi="Times New Roman"/>
          <w:sz w:val="24"/>
          <w:szCs w:val="24"/>
          <w:shd w:val="clear" w:color="auto" w:fill="FFFFFF"/>
        </w:rPr>
        <w:t xml:space="preserve">ční soud a uvede se doba, na kterou se exekuce odkládá. Během této doby exekutor nečiní žádné úkony, které by směřovali k provedení exekuce. Po uplynutí doby odkladu se pokračuje v exekuci. Exekuce může být odložena i bez návrhu. </w:t>
      </w:r>
      <w:r w:rsidR="00BF6AD2">
        <w:rPr>
          <w:rStyle w:val="Znakapoznpodarou"/>
          <w:rFonts w:ascii="Times New Roman" w:hAnsi="Times New Roman"/>
          <w:sz w:val="24"/>
          <w:szCs w:val="24"/>
          <w:shd w:val="clear" w:color="auto" w:fill="FFFFFF"/>
        </w:rPr>
        <w:footnoteReference w:id="86"/>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shd w:val="clear" w:color="auto" w:fill="FFFFFF"/>
        </w:rPr>
      </w:pPr>
      <w:r>
        <w:rPr>
          <w:rStyle w:val="dn"/>
          <w:rFonts w:ascii="Times New Roman" w:eastAsia="Times New Roman" w:hAnsi="Times New Roman" w:cs="Times New Roman"/>
          <w:sz w:val="24"/>
          <w:szCs w:val="24"/>
          <w:shd w:val="clear" w:color="auto" w:fill="FFFFFF"/>
        </w:rPr>
        <w:tab/>
      </w:r>
      <w:r>
        <w:rPr>
          <w:rFonts w:ascii="Times New Roman" w:hAnsi="Times New Roman"/>
          <w:sz w:val="24"/>
          <w:szCs w:val="24"/>
          <w:shd w:val="clear" w:color="auto" w:fill="FFFFFF"/>
        </w:rPr>
        <w:t>Exekuce může být zastavena, a to na návrh povinného, jenž jej smí podat do 15 dnů ode dne, kdy se dozvědě</w:t>
      </w:r>
      <w:r>
        <w:rPr>
          <w:rFonts w:ascii="Times New Roman" w:hAnsi="Times New Roman"/>
          <w:sz w:val="24"/>
          <w:szCs w:val="24"/>
          <w:shd w:val="clear" w:color="auto" w:fill="FFFFFF"/>
          <w:lang w:val="pt-PT"/>
        </w:rPr>
        <w:t>l o d</w:t>
      </w:r>
      <w:r>
        <w:rPr>
          <w:rFonts w:ascii="Times New Roman" w:hAnsi="Times New Roman"/>
          <w:sz w:val="24"/>
          <w:szCs w:val="24"/>
          <w:shd w:val="clear" w:color="auto" w:fill="FFFFFF"/>
        </w:rPr>
        <w:t xml:space="preserve">ůvodu pro zastavení exekuce. Návrh se podává u soudního exekutora, jež exekuci vede. Návrh může být postoupen soudu, v případě že exekutor návrhu nevyhoví. Tento soud pak o návrhu rozhodne. Podaný návrh musí obsahovat vylíčení veškerých skutečností a musí mít určitou formu. Jestliže návrh neobsahuje zákonem stanovené náležitosti, či je podán opožděně, exekutor jej může odmítnout a jestliže je proti tomuto rozhodnutí podán odpor, bude věc postoupena soudu. O zastavení exekuce může být rozhodnuto i bez návrhu, jestliže s tím </w:t>
      </w:r>
      <w:r>
        <w:rPr>
          <w:rFonts w:ascii="Times New Roman" w:hAnsi="Times New Roman"/>
          <w:sz w:val="24"/>
          <w:szCs w:val="24"/>
          <w:shd w:val="clear" w:color="auto" w:fill="FFFFFF"/>
          <w:lang w:val="it-IT"/>
        </w:rPr>
        <w:t>opr</w:t>
      </w:r>
      <w:r>
        <w:rPr>
          <w:rFonts w:ascii="Times New Roman" w:hAnsi="Times New Roman"/>
          <w:sz w:val="24"/>
          <w:szCs w:val="24"/>
          <w:shd w:val="clear" w:color="auto" w:fill="FFFFFF"/>
        </w:rPr>
        <w:t>ávněný souhlasí. Exekuce může být zastavena i v případě, že oprávněný nesložit na účet exekutora zálohu na náklady exekuce.</w:t>
      </w:r>
      <w:r w:rsidR="00BF6AD2">
        <w:rPr>
          <w:rStyle w:val="Znakapoznpodarou"/>
          <w:rFonts w:ascii="Times New Roman" w:hAnsi="Times New Roman"/>
          <w:sz w:val="24"/>
          <w:szCs w:val="24"/>
          <w:shd w:val="clear" w:color="auto" w:fill="FFFFFF"/>
        </w:rPr>
        <w:footnoteReference w:id="87"/>
      </w:r>
    </w:p>
    <w:p w:rsidR="009B70FF" w:rsidRPr="00A55F1D" w:rsidRDefault="00620BFE" w:rsidP="00620BFE">
      <w:pPr>
        <w:pStyle w:val="Nadpis3"/>
        <w:ind w:firstLine="0"/>
        <w:rPr>
          <w:rFonts w:eastAsia="Times New Roman" w:cs="Times New Roman"/>
        </w:rPr>
      </w:pPr>
      <w:bookmarkStart w:id="76" w:name="_Toc25"/>
      <w:bookmarkStart w:id="77" w:name="_Toc18276740"/>
      <w:bookmarkStart w:id="78" w:name="_Toc18313960"/>
      <w:r>
        <w:rPr>
          <w:rStyle w:val="dn"/>
          <w:color w:val="000000"/>
          <w:szCs w:val="24"/>
          <w:u w:color="000000"/>
        </w:rPr>
        <w:t>4.2.3</w:t>
      </w:r>
      <w:r>
        <w:rPr>
          <w:rStyle w:val="dn"/>
          <w:color w:val="000000"/>
          <w:szCs w:val="24"/>
          <w:u w:color="000000"/>
        </w:rPr>
        <w:tab/>
      </w:r>
      <w:r w:rsidR="009B70FF" w:rsidRPr="00A55F1D">
        <w:rPr>
          <w:rStyle w:val="dn"/>
          <w:color w:val="000000"/>
          <w:szCs w:val="24"/>
          <w:u w:color="000000"/>
        </w:rPr>
        <w:t xml:space="preserve">Způsoby </w:t>
      </w:r>
      <w:r w:rsidR="009B70FF" w:rsidRPr="00620BFE">
        <w:rPr>
          <w:rStyle w:val="dn"/>
        </w:rPr>
        <w:t>provedení</w:t>
      </w:r>
      <w:r w:rsidR="009B70FF" w:rsidRPr="00A55F1D">
        <w:rPr>
          <w:rStyle w:val="dn"/>
          <w:color w:val="000000"/>
          <w:szCs w:val="24"/>
          <w:u w:color="000000"/>
        </w:rPr>
        <w:t xml:space="preserve"> exekuce</w:t>
      </w:r>
      <w:bookmarkEnd w:id="76"/>
      <w:bookmarkEnd w:id="77"/>
      <w:bookmarkEnd w:id="78"/>
    </w:p>
    <w:p w:rsidR="009B70FF" w:rsidRDefault="009B70FF" w:rsidP="009B70FF">
      <w:pPr>
        <w:spacing w:after="240"/>
        <w:ind w:firstLine="708"/>
        <w:rPr>
          <w:rStyle w:val="dn"/>
          <w:rFonts w:eastAsia="Times New Roman" w:cs="Times New Roman"/>
          <w:szCs w:val="24"/>
        </w:rPr>
      </w:pPr>
      <w:r>
        <w:rPr>
          <w:rStyle w:val="dn"/>
          <w:szCs w:val="24"/>
        </w:rPr>
        <w:t xml:space="preserve">Způsoby výkonu rozhodnutí </w:t>
      </w:r>
      <w:r>
        <w:rPr>
          <w:rStyle w:val="dn"/>
          <w:szCs w:val="24"/>
          <w:lang w:val="it-IT"/>
        </w:rPr>
        <w:t>na pen</w:t>
      </w:r>
      <w:r>
        <w:rPr>
          <w:rStyle w:val="dn"/>
          <w:szCs w:val="24"/>
        </w:rPr>
        <w:t>ěžit</w:t>
      </w:r>
      <w:r>
        <w:rPr>
          <w:rStyle w:val="dn"/>
          <w:szCs w:val="24"/>
          <w:lang w:val="fr-FR"/>
        </w:rPr>
        <w:t xml:space="preserve">é </w:t>
      </w:r>
      <w:r>
        <w:rPr>
          <w:rStyle w:val="dn"/>
          <w:szCs w:val="24"/>
        </w:rPr>
        <w:t>plnění jsou prováděny podle zákona č. 99/1963. Sb, obč</w:t>
      </w:r>
      <w:r>
        <w:rPr>
          <w:rStyle w:val="dn"/>
          <w:szCs w:val="24"/>
          <w:lang w:val="da-DK"/>
        </w:rPr>
        <w:t>ansk</w:t>
      </w:r>
      <w:r>
        <w:rPr>
          <w:rStyle w:val="dn"/>
          <w:szCs w:val="24"/>
          <w:lang w:val="fr-FR"/>
        </w:rPr>
        <w:t>é</w:t>
      </w:r>
      <w:r>
        <w:rPr>
          <w:rStyle w:val="dn"/>
          <w:szCs w:val="24"/>
        </w:rPr>
        <w:t>ho soudního řádu, a to následovně:</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rPr>
      </w:pPr>
      <w:r>
        <w:rPr>
          <w:rStyle w:val="dn"/>
          <w:i/>
          <w:iCs/>
          <w:szCs w:val="24"/>
        </w:rPr>
        <w:t>Srážkami ze mzdy- §303 až §311,</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rPr>
      </w:pPr>
      <w:r>
        <w:rPr>
          <w:rStyle w:val="dn"/>
          <w:i/>
          <w:iCs/>
          <w:szCs w:val="24"/>
        </w:rPr>
        <w:t>Přikázáním pohledávky- §303 až §320ab,</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lang w:val="de-DE"/>
        </w:rPr>
      </w:pPr>
      <w:r>
        <w:rPr>
          <w:rStyle w:val="dn"/>
          <w:i/>
          <w:iCs/>
          <w:szCs w:val="24"/>
          <w:lang w:val="de-DE"/>
        </w:rPr>
        <w:t>Spr</w:t>
      </w:r>
      <w:r>
        <w:rPr>
          <w:rStyle w:val="dn"/>
          <w:i/>
          <w:iCs/>
          <w:szCs w:val="24"/>
        </w:rPr>
        <w:t>ávou nemovit</w:t>
      </w:r>
      <w:r>
        <w:rPr>
          <w:rStyle w:val="dn"/>
          <w:i/>
          <w:iCs/>
          <w:szCs w:val="24"/>
          <w:lang w:val="fr-FR"/>
        </w:rPr>
        <w:t xml:space="preserve">é </w:t>
      </w:r>
      <w:r>
        <w:rPr>
          <w:rStyle w:val="dn"/>
          <w:i/>
          <w:iCs/>
          <w:szCs w:val="24"/>
        </w:rPr>
        <w:t>věci- §</w:t>
      </w:r>
      <w:r>
        <w:rPr>
          <w:rStyle w:val="dn"/>
          <w:i/>
          <w:iCs/>
          <w:szCs w:val="24"/>
          <w:lang w:val="en-US"/>
        </w:rPr>
        <w:t>320b a</w:t>
      </w:r>
      <w:r>
        <w:rPr>
          <w:rStyle w:val="dn"/>
          <w:i/>
          <w:iCs/>
          <w:szCs w:val="24"/>
        </w:rPr>
        <w:t>ž §320j,</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rPr>
      </w:pPr>
      <w:r>
        <w:rPr>
          <w:rStyle w:val="dn"/>
          <w:i/>
          <w:iCs/>
          <w:szCs w:val="24"/>
        </w:rPr>
        <w:t>Prodej movitých věcí a nemovitých věcí- §321 až §338,</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rPr>
      </w:pPr>
      <w:r>
        <w:rPr>
          <w:rStyle w:val="dn"/>
          <w:i/>
          <w:iCs/>
          <w:szCs w:val="24"/>
        </w:rPr>
        <w:t>Postižením závodu- §</w:t>
      </w:r>
      <w:r>
        <w:rPr>
          <w:rStyle w:val="dn"/>
          <w:i/>
          <w:iCs/>
          <w:szCs w:val="24"/>
          <w:lang w:val="en-US"/>
        </w:rPr>
        <w:t>338f a</w:t>
      </w:r>
      <w:r>
        <w:rPr>
          <w:rStyle w:val="dn"/>
          <w:i/>
          <w:iCs/>
          <w:szCs w:val="24"/>
        </w:rPr>
        <w:t>ž §</w:t>
      </w:r>
      <w:r>
        <w:rPr>
          <w:rStyle w:val="dn"/>
          <w:i/>
          <w:iCs/>
          <w:szCs w:val="24"/>
          <w:lang w:val="es-ES_tradnl"/>
        </w:rPr>
        <w:t>338zq,</w:t>
      </w:r>
    </w:p>
    <w:p w:rsidR="009B70FF" w:rsidRDefault="009B70FF" w:rsidP="007A2179">
      <w:pPr>
        <w:pStyle w:val="Odstavecseseznamem"/>
        <w:numPr>
          <w:ilvl w:val="0"/>
          <w:numId w:val="15"/>
        </w:numPr>
        <w:pBdr>
          <w:top w:val="nil"/>
          <w:left w:val="nil"/>
          <w:bottom w:val="nil"/>
          <w:right w:val="nil"/>
          <w:between w:val="nil"/>
          <w:bar w:val="nil"/>
        </w:pBdr>
        <w:spacing w:before="0" w:after="164"/>
        <w:contextualSpacing w:val="0"/>
        <w:rPr>
          <w:i/>
          <w:iCs/>
          <w:szCs w:val="24"/>
        </w:rPr>
      </w:pPr>
      <w:r>
        <w:rPr>
          <w:rStyle w:val="dn"/>
          <w:i/>
          <w:iCs/>
          <w:szCs w:val="24"/>
        </w:rPr>
        <w:t>Zřízením soudcovsk</w:t>
      </w:r>
      <w:r>
        <w:rPr>
          <w:rStyle w:val="dn"/>
          <w:i/>
          <w:iCs/>
          <w:szCs w:val="24"/>
          <w:lang w:val="fr-FR"/>
        </w:rPr>
        <w:t>é</w:t>
      </w:r>
      <w:r>
        <w:rPr>
          <w:rStyle w:val="dn"/>
          <w:i/>
          <w:iCs/>
          <w:szCs w:val="24"/>
        </w:rPr>
        <w:t>ho zástavního práva k nemovitým věcem- §338b-§338e,</w:t>
      </w:r>
    </w:p>
    <w:p w:rsidR="009B70FF" w:rsidRDefault="009B70FF" w:rsidP="009B70FF">
      <w:pPr>
        <w:spacing w:after="120"/>
        <w:ind w:firstLine="708"/>
        <w:rPr>
          <w:rStyle w:val="dn"/>
          <w:rFonts w:eastAsia="Times New Roman" w:cs="Times New Roman"/>
          <w:sz w:val="23"/>
          <w:szCs w:val="23"/>
        </w:rPr>
      </w:pPr>
      <w:r>
        <w:rPr>
          <w:rStyle w:val="dn"/>
          <w:sz w:val="23"/>
          <w:szCs w:val="23"/>
        </w:rPr>
        <w:t>Výkon rozhodnutí pro nepeněžit</w:t>
      </w:r>
      <w:r>
        <w:rPr>
          <w:rStyle w:val="dn"/>
          <w:sz w:val="23"/>
          <w:szCs w:val="23"/>
          <w:lang w:val="fr-FR"/>
        </w:rPr>
        <w:t xml:space="preserve">é </w:t>
      </w:r>
      <w:r>
        <w:rPr>
          <w:rStyle w:val="dn"/>
          <w:sz w:val="23"/>
          <w:szCs w:val="23"/>
        </w:rPr>
        <w:t>plnění se provádí podle povahy vymáhan</w:t>
      </w:r>
      <w:r>
        <w:rPr>
          <w:rStyle w:val="dn"/>
          <w:sz w:val="23"/>
          <w:szCs w:val="23"/>
          <w:lang w:val="fr-FR"/>
        </w:rPr>
        <w:t xml:space="preserve">é </w:t>
      </w:r>
      <w:r>
        <w:rPr>
          <w:rStyle w:val="dn"/>
          <w:sz w:val="23"/>
          <w:szCs w:val="23"/>
        </w:rPr>
        <w:t xml:space="preserve">povinnosti následujícími způsoby </w:t>
      </w:r>
    </w:p>
    <w:p w:rsidR="009B70FF" w:rsidRDefault="009B70FF" w:rsidP="007A2179">
      <w:pPr>
        <w:pStyle w:val="Odstavecseseznamem"/>
        <w:numPr>
          <w:ilvl w:val="0"/>
          <w:numId w:val="17"/>
        </w:numPr>
        <w:pBdr>
          <w:top w:val="nil"/>
          <w:left w:val="nil"/>
          <w:bottom w:val="nil"/>
          <w:right w:val="nil"/>
          <w:between w:val="nil"/>
          <w:bar w:val="nil"/>
        </w:pBdr>
        <w:spacing w:before="0" w:after="120"/>
        <w:contextualSpacing w:val="0"/>
        <w:rPr>
          <w:i/>
          <w:iCs/>
          <w:sz w:val="23"/>
          <w:szCs w:val="23"/>
        </w:rPr>
      </w:pPr>
      <w:r>
        <w:rPr>
          <w:rStyle w:val="dn"/>
          <w:i/>
          <w:iCs/>
          <w:sz w:val="23"/>
          <w:szCs w:val="23"/>
        </w:rPr>
        <w:t>vyklizením (§</w:t>
      </w:r>
      <w:r>
        <w:rPr>
          <w:rStyle w:val="dn"/>
          <w:i/>
          <w:iCs/>
          <w:sz w:val="23"/>
          <w:szCs w:val="23"/>
          <w:lang w:val="it-IT"/>
        </w:rPr>
        <w:t>340 a</w:t>
      </w:r>
      <w:r>
        <w:rPr>
          <w:rStyle w:val="dn"/>
          <w:i/>
          <w:iCs/>
          <w:sz w:val="23"/>
          <w:szCs w:val="23"/>
        </w:rPr>
        <w:t>ž §342),</w:t>
      </w:r>
    </w:p>
    <w:p w:rsidR="009B70FF" w:rsidRDefault="009B70FF" w:rsidP="007A2179">
      <w:pPr>
        <w:pStyle w:val="Odstavecseseznamem"/>
        <w:numPr>
          <w:ilvl w:val="0"/>
          <w:numId w:val="17"/>
        </w:numPr>
        <w:pBdr>
          <w:top w:val="nil"/>
          <w:left w:val="nil"/>
          <w:bottom w:val="nil"/>
          <w:right w:val="nil"/>
          <w:between w:val="nil"/>
          <w:bar w:val="nil"/>
        </w:pBdr>
        <w:spacing w:before="0" w:after="167"/>
        <w:contextualSpacing w:val="0"/>
        <w:rPr>
          <w:i/>
          <w:iCs/>
          <w:sz w:val="23"/>
          <w:szCs w:val="23"/>
        </w:rPr>
      </w:pPr>
      <w:r>
        <w:rPr>
          <w:rStyle w:val="dn"/>
          <w:i/>
          <w:iCs/>
          <w:sz w:val="23"/>
          <w:szCs w:val="23"/>
        </w:rPr>
        <w:t>odebráním věci (§</w:t>
      </w:r>
      <w:r>
        <w:rPr>
          <w:rStyle w:val="dn"/>
          <w:i/>
          <w:iCs/>
          <w:sz w:val="23"/>
          <w:szCs w:val="23"/>
          <w:lang w:val="ru-RU"/>
        </w:rPr>
        <w:t>345 a</w:t>
      </w:r>
      <w:r>
        <w:rPr>
          <w:rStyle w:val="dn"/>
          <w:i/>
          <w:iCs/>
          <w:sz w:val="23"/>
          <w:szCs w:val="23"/>
        </w:rPr>
        <w:t>ž §347)</w:t>
      </w:r>
    </w:p>
    <w:p w:rsidR="009B70FF" w:rsidRDefault="009B70FF" w:rsidP="007A2179">
      <w:pPr>
        <w:pStyle w:val="Odstavecseseznamem"/>
        <w:numPr>
          <w:ilvl w:val="0"/>
          <w:numId w:val="17"/>
        </w:numPr>
        <w:pBdr>
          <w:top w:val="nil"/>
          <w:left w:val="nil"/>
          <w:bottom w:val="nil"/>
          <w:right w:val="nil"/>
          <w:between w:val="nil"/>
          <w:bar w:val="nil"/>
        </w:pBdr>
        <w:spacing w:before="0" w:after="167"/>
        <w:contextualSpacing w:val="0"/>
        <w:rPr>
          <w:i/>
          <w:iCs/>
          <w:sz w:val="23"/>
          <w:szCs w:val="23"/>
        </w:rPr>
      </w:pPr>
      <w:r>
        <w:rPr>
          <w:rStyle w:val="dn"/>
          <w:i/>
          <w:iCs/>
          <w:sz w:val="23"/>
          <w:szCs w:val="23"/>
        </w:rPr>
        <w:t>rozdělením společn</w:t>
      </w:r>
      <w:r>
        <w:rPr>
          <w:rStyle w:val="dn"/>
          <w:i/>
          <w:iCs/>
          <w:sz w:val="23"/>
          <w:szCs w:val="23"/>
          <w:lang w:val="fr-FR"/>
        </w:rPr>
        <w:t xml:space="preserve">é </w:t>
      </w:r>
      <w:r>
        <w:rPr>
          <w:rStyle w:val="dn"/>
          <w:i/>
          <w:iCs/>
          <w:sz w:val="23"/>
          <w:szCs w:val="23"/>
        </w:rPr>
        <w:t>věci (§348 až §349)</w:t>
      </w:r>
    </w:p>
    <w:p w:rsidR="009B70FF" w:rsidRDefault="009B70FF" w:rsidP="007A2179">
      <w:pPr>
        <w:pStyle w:val="Odstavecseseznamem"/>
        <w:numPr>
          <w:ilvl w:val="0"/>
          <w:numId w:val="17"/>
        </w:numPr>
        <w:pBdr>
          <w:top w:val="nil"/>
          <w:left w:val="nil"/>
          <w:bottom w:val="nil"/>
          <w:right w:val="nil"/>
          <w:between w:val="nil"/>
          <w:bar w:val="nil"/>
        </w:pBdr>
        <w:spacing w:before="0" w:after="167"/>
        <w:contextualSpacing w:val="0"/>
        <w:rPr>
          <w:i/>
          <w:iCs/>
          <w:sz w:val="23"/>
          <w:szCs w:val="23"/>
        </w:rPr>
      </w:pPr>
      <w:r>
        <w:rPr>
          <w:rStyle w:val="dn"/>
          <w:i/>
          <w:iCs/>
          <w:sz w:val="23"/>
          <w:szCs w:val="23"/>
        </w:rPr>
        <w:t>provedením prací a výkonů (§350 až §351)</w:t>
      </w:r>
    </w:p>
    <w:p w:rsidR="009B70FF" w:rsidRDefault="009B70FF" w:rsidP="009B70FF">
      <w:pPr>
        <w:ind w:firstLine="708"/>
        <w:rPr>
          <w:rStyle w:val="dn"/>
          <w:rFonts w:eastAsia="Times New Roman" w:cs="Times New Roman"/>
          <w:szCs w:val="24"/>
        </w:rPr>
      </w:pPr>
      <w:r>
        <w:rPr>
          <w:rStyle w:val="dn"/>
          <w:szCs w:val="24"/>
        </w:rPr>
        <w:t>Co se ká způ</w:t>
      </w:r>
      <w:r>
        <w:rPr>
          <w:rStyle w:val="dn"/>
          <w:szCs w:val="24"/>
          <w:lang w:val="es-ES_tradnl"/>
        </w:rPr>
        <w:t>sob</w:t>
      </w:r>
      <w:r>
        <w:rPr>
          <w:rStyle w:val="dn"/>
          <w:szCs w:val="24"/>
        </w:rPr>
        <w:t>ů provedení exekuce podle EŘ</w:t>
      </w:r>
      <w:r>
        <w:rPr>
          <w:rStyle w:val="dn"/>
          <w:szCs w:val="24"/>
          <w:lang w:val="de-DE"/>
        </w:rPr>
        <w:t>, nach</w:t>
      </w:r>
      <w:r>
        <w:rPr>
          <w:rStyle w:val="dn"/>
          <w:szCs w:val="24"/>
        </w:rPr>
        <w:t>ázíme jejich předobraz v § 258 OSŘ. V řadě ohledů lze tedy odkázat na jeho ustanovení. Ze způ</w:t>
      </w:r>
      <w:r>
        <w:rPr>
          <w:rStyle w:val="dn"/>
          <w:szCs w:val="24"/>
          <w:lang w:val="es-ES_tradnl"/>
        </w:rPr>
        <w:t>sob</w:t>
      </w:r>
      <w:r>
        <w:rPr>
          <w:rStyle w:val="dn"/>
          <w:szCs w:val="24"/>
        </w:rPr>
        <w:t>ů provedení exekuce byla novelou č. 139/2006 vyňata exekuce zřízením exekutorsk</w:t>
      </w:r>
      <w:r>
        <w:rPr>
          <w:rStyle w:val="dn"/>
          <w:szCs w:val="24"/>
          <w:lang w:val="fr-FR"/>
        </w:rPr>
        <w:t>é</w:t>
      </w:r>
      <w:r>
        <w:rPr>
          <w:rStyle w:val="dn"/>
          <w:szCs w:val="24"/>
        </w:rPr>
        <w:t>ho zástavního práva na nemovitých věcech. Toto zástavní právo již tedy není zřizová</w:t>
      </w:r>
      <w:r>
        <w:rPr>
          <w:rStyle w:val="dn"/>
          <w:szCs w:val="24"/>
          <w:lang w:val="it-IT"/>
        </w:rPr>
        <w:t>no v</w:t>
      </w:r>
      <w:r>
        <w:rPr>
          <w:rStyle w:val="dn"/>
          <w:szCs w:val="24"/>
        </w:rPr>
        <w:t> rámci probíhající exekuce, nicm</w:t>
      </w:r>
      <w:r>
        <w:rPr>
          <w:rStyle w:val="dn"/>
          <w:szCs w:val="24"/>
          <w:lang w:val="fr-FR"/>
        </w:rPr>
        <w:t>é</w:t>
      </w:r>
      <w:r>
        <w:rPr>
          <w:rStyle w:val="dn"/>
          <w:szCs w:val="24"/>
        </w:rPr>
        <w:t>ně je nadále zřizová</w:t>
      </w:r>
      <w:r>
        <w:rPr>
          <w:rStyle w:val="dn"/>
          <w:szCs w:val="24"/>
          <w:lang w:val="it-IT"/>
        </w:rPr>
        <w:t>no v</w:t>
      </w:r>
      <w:r>
        <w:rPr>
          <w:rStyle w:val="dn"/>
          <w:szCs w:val="24"/>
        </w:rPr>
        <w:t> rámci samostatn</w:t>
      </w:r>
      <w:r>
        <w:rPr>
          <w:rStyle w:val="dn"/>
          <w:szCs w:val="24"/>
          <w:lang w:val="fr-FR"/>
        </w:rPr>
        <w:t>é</w:t>
      </w:r>
      <w:r>
        <w:rPr>
          <w:rStyle w:val="dn"/>
          <w:szCs w:val="24"/>
        </w:rPr>
        <w:t>ho řízení. Na rozdíl od výkonu rozhodnutí může soudní exekutor vymáhat pohledávku způsobem uvedeným výlučně v </w:t>
      </w:r>
      <w:r>
        <w:rPr>
          <w:rStyle w:val="dn"/>
          <w:szCs w:val="24"/>
          <w:lang w:val="pt-PT"/>
        </w:rPr>
        <w:t>exeku</w:t>
      </w:r>
      <w:r>
        <w:rPr>
          <w:rStyle w:val="dn"/>
          <w:szCs w:val="24"/>
        </w:rPr>
        <w:t>čním řádu. Jedná se o způsob exekuce pozastavením řidičsk</w:t>
      </w:r>
      <w:r>
        <w:rPr>
          <w:rStyle w:val="dn"/>
          <w:szCs w:val="24"/>
          <w:lang w:val="fr-FR"/>
        </w:rPr>
        <w:t>é</w:t>
      </w:r>
      <w:r>
        <w:rPr>
          <w:rStyle w:val="dn"/>
          <w:szCs w:val="24"/>
        </w:rPr>
        <w:t xml:space="preserve">ho oprávnění. Zároveň byl do exekučního řádu, podobně </w:t>
      </w:r>
      <w:r>
        <w:rPr>
          <w:rStyle w:val="dn"/>
          <w:szCs w:val="24"/>
          <w:lang w:val="pt-PT"/>
        </w:rPr>
        <w:t>jako do OS</w:t>
      </w:r>
      <w:r>
        <w:rPr>
          <w:rStyle w:val="dn"/>
          <w:szCs w:val="24"/>
        </w:rPr>
        <w:t>Ř, zaveden novelou č. 133/2006 Sb. nový způ</w:t>
      </w:r>
      <w:r>
        <w:rPr>
          <w:rStyle w:val="dn"/>
          <w:szCs w:val="24"/>
          <w:lang w:val="pt-PT"/>
        </w:rPr>
        <w:t>sob v</w:t>
      </w:r>
      <w:r>
        <w:rPr>
          <w:rStyle w:val="dn"/>
          <w:szCs w:val="24"/>
        </w:rPr>
        <w:t>ýkonu exekuce, a to příkaz k výplatě z účtu u peněžního ústavu. Exekutor tímto získal pravomoc vydat exekuční příkaz k výplatě účtu z peněžního ústavu. Tento způsob byl nakonec vzhledem k </w:t>
      </w:r>
      <w:r>
        <w:rPr>
          <w:rStyle w:val="dn"/>
          <w:szCs w:val="24"/>
          <w:lang w:val="de-DE"/>
        </w:rPr>
        <w:t>nefunk</w:t>
      </w:r>
      <w:r>
        <w:rPr>
          <w:rStyle w:val="dn"/>
          <w:szCs w:val="24"/>
        </w:rPr>
        <w:t>čnosti tohoto procesního institutu zrušen.</w:t>
      </w:r>
      <w:r w:rsidR="00BF6AD2">
        <w:rPr>
          <w:rStyle w:val="Znakapoznpodarou"/>
          <w:szCs w:val="24"/>
        </w:rPr>
        <w:footnoteReference w:id="88"/>
      </w:r>
      <w:r>
        <w:rPr>
          <w:rStyle w:val="dn"/>
          <w:szCs w:val="24"/>
        </w:rPr>
        <w:t xml:space="preserve"> </w:t>
      </w:r>
    </w:p>
    <w:p w:rsidR="009B70FF" w:rsidRDefault="009B70FF" w:rsidP="009B70FF">
      <w:pPr>
        <w:spacing w:after="120"/>
        <w:ind w:firstLine="708"/>
        <w:rPr>
          <w:rStyle w:val="dn"/>
          <w:rFonts w:eastAsia="Times New Roman" w:cs="Times New Roman"/>
          <w:szCs w:val="24"/>
        </w:rPr>
      </w:pPr>
      <w:r>
        <w:rPr>
          <w:rStyle w:val="dn"/>
          <w:szCs w:val="24"/>
        </w:rPr>
        <w:t>Exekuci, která ukládá zaplacení peněžité částky, lze prov</w:t>
      </w:r>
      <w:r>
        <w:rPr>
          <w:rStyle w:val="dn"/>
          <w:szCs w:val="24"/>
          <w:lang w:val="fr-FR"/>
        </w:rPr>
        <w:t>é</w:t>
      </w:r>
      <w:r>
        <w:rPr>
          <w:rStyle w:val="dn"/>
          <w:szCs w:val="24"/>
        </w:rPr>
        <w:t>st dle §59 odst. 1 zákona č. 120/2001 Sb., exekučního řá</w:t>
      </w:r>
      <w:r>
        <w:rPr>
          <w:rStyle w:val="dn"/>
          <w:szCs w:val="24"/>
          <w:lang w:val="fr-FR"/>
        </w:rPr>
        <w:t>du, n</w:t>
      </w:r>
      <w:r>
        <w:rPr>
          <w:rStyle w:val="dn"/>
          <w:szCs w:val="24"/>
        </w:rPr>
        <w:t>ásledujícími způsoby:</w:t>
      </w:r>
    </w:p>
    <w:p w:rsidR="009B70FF" w:rsidRDefault="009B70FF" w:rsidP="007A2179">
      <w:pPr>
        <w:pStyle w:val="Odstavecseseznamem"/>
        <w:numPr>
          <w:ilvl w:val="0"/>
          <w:numId w:val="19"/>
        </w:numPr>
        <w:pBdr>
          <w:top w:val="nil"/>
          <w:left w:val="nil"/>
          <w:bottom w:val="nil"/>
          <w:right w:val="nil"/>
          <w:between w:val="nil"/>
          <w:bar w:val="nil"/>
        </w:pBdr>
        <w:spacing w:before="0" w:after="120"/>
        <w:contextualSpacing w:val="0"/>
        <w:rPr>
          <w:i/>
          <w:iCs/>
          <w:szCs w:val="24"/>
        </w:rPr>
      </w:pPr>
      <w:r>
        <w:rPr>
          <w:rStyle w:val="dn"/>
          <w:i/>
          <w:iCs/>
          <w:szCs w:val="24"/>
        </w:rPr>
        <w:t>Srážkami ze mzdy a jiných příjmů,</w:t>
      </w:r>
    </w:p>
    <w:p w:rsidR="009B70FF" w:rsidRDefault="009B70FF" w:rsidP="007A2179">
      <w:pPr>
        <w:pStyle w:val="Odstavecseseznamem"/>
        <w:numPr>
          <w:ilvl w:val="0"/>
          <w:numId w:val="19"/>
        </w:numPr>
        <w:pBdr>
          <w:top w:val="nil"/>
          <w:left w:val="nil"/>
          <w:bottom w:val="nil"/>
          <w:right w:val="nil"/>
          <w:between w:val="nil"/>
          <w:bar w:val="nil"/>
        </w:pBdr>
        <w:spacing w:before="0" w:after="183"/>
        <w:contextualSpacing w:val="0"/>
        <w:rPr>
          <w:i/>
          <w:iCs/>
          <w:szCs w:val="24"/>
        </w:rPr>
      </w:pPr>
      <w:r>
        <w:rPr>
          <w:rStyle w:val="dn"/>
          <w:i/>
          <w:iCs/>
          <w:szCs w:val="24"/>
        </w:rPr>
        <w:t xml:space="preserve">Přikázání pohledávky, </w:t>
      </w:r>
    </w:p>
    <w:p w:rsidR="009B70FF" w:rsidRDefault="009B70FF" w:rsidP="007A2179">
      <w:pPr>
        <w:pStyle w:val="Odstavecseseznamem"/>
        <w:numPr>
          <w:ilvl w:val="0"/>
          <w:numId w:val="19"/>
        </w:numPr>
        <w:pBdr>
          <w:top w:val="nil"/>
          <w:left w:val="nil"/>
          <w:bottom w:val="nil"/>
          <w:right w:val="nil"/>
          <w:between w:val="nil"/>
          <w:bar w:val="nil"/>
        </w:pBdr>
        <w:spacing w:before="0" w:after="183"/>
        <w:contextualSpacing w:val="0"/>
        <w:rPr>
          <w:i/>
          <w:iCs/>
          <w:szCs w:val="24"/>
        </w:rPr>
      </w:pPr>
      <w:r>
        <w:rPr>
          <w:rStyle w:val="dn"/>
          <w:i/>
          <w:iCs/>
          <w:szCs w:val="24"/>
        </w:rPr>
        <w:t>Prodej movitých věcí a nemovitých věcí,</w:t>
      </w:r>
    </w:p>
    <w:p w:rsidR="009B70FF" w:rsidRDefault="009B70FF" w:rsidP="007A2179">
      <w:pPr>
        <w:pStyle w:val="Odstavecseseznamem"/>
        <w:numPr>
          <w:ilvl w:val="0"/>
          <w:numId w:val="19"/>
        </w:numPr>
        <w:pBdr>
          <w:top w:val="nil"/>
          <w:left w:val="nil"/>
          <w:bottom w:val="nil"/>
          <w:right w:val="nil"/>
          <w:between w:val="nil"/>
          <w:bar w:val="nil"/>
        </w:pBdr>
        <w:spacing w:before="0" w:after="183"/>
        <w:contextualSpacing w:val="0"/>
        <w:rPr>
          <w:i/>
          <w:iCs/>
          <w:szCs w:val="24"/>
        </w:rPr>
      </w:pPr>
      <w:r>
        <w:rPr>
          <w:rStyle w:val="dn"/>
          <w:i/>
          <w:iCs/>
          <w:szCs w:val="24"/>
        </w:rPr>
        <w:t>Postižením závodu,</w:t>
      </w:r>
    </w:p>
    <w:p w:rsidR="009B70FF" w:rsidRDefault="009B70FF" w:rsidP="007A2179">
      <w:pPr>
        <w:pStyle w:val="Odstavecseseznamem"/>
        <w:numPr>
          <w:ilvl w:val="0"/>
          <w:numId w:val="19"/>
        </w:numPr>
        <w:pBdr>
          <w:top w:val="nil"/>
          <w:left w:val="nil"/>
          <w:bottom w:val="nil"/>
          <w:right w:val="nil"/>
          <w:between w:val="nil"/>
          <w:bar w:val="nil"/>
        </w:pBdr>
        <w:spacing w:before="0" w:after="183"/>
        <w:contextualSpacing w:val="0"/>
        <w:rPr>
          <w:i/>
          <w:iCs/>
          <w:szCs w:val="24"/>
          <w:lang w:val="de-DE"/>
        </w:rPr>
      </w:pPr>
      <w:r>
        <w:rPr>
          <w:rStyle w:val="dn"/>
          <w:i/>
          <w:iCs/>
          <w:szCs w:val="24"/>
          <w:lang w:val="de-DE"/>
        </w:rPr>
        <w:t>Spr</w:t>
      </w:r>
      <w:r>
        <w:rPr>
          <w:rStyle w:val="dn"/>
          <w:i/>
          <w:iCs/>
          <w:szCs w:val="24"/>
        </w:rPr>
        <w:t>ávou nemovit</w:t>
      </w:r>
      <w:r>
        <w:rPr>
          <w:rStyle w:val="dn"/>
          <w:i/>
          <w:iCs/>
          <w:szCs w:val="24"/>
          <w:lang w:val="fr-FR"/>
        </w:rPr>
        <w:t xml:space="preserve">é </w:t>
      </w:r>
      <w:r>
        <w:rPr>
          <w:rStyle w:val="dn"/>
          <w:i/>
          <w:iCs/>
          <w:szCs w:val="24"/>
        </w:rPr>
        <w:t>vě</w:t>
      </w:r>
      <w:r>
        <w:rPr>
          <w:rStyle w:val="dn"/>
          <w:i/>
          <w:iCs/>
          <w:szCs w:val="24"/>
          <w:lang w:val="it-IT"/>
        </w:rPr>
        <w:t>ci,</w:t>
      </w:r>
    </w:p>
    <w:p w:rsidR="009B70FF" w:rsidRDefault="009B70FF" w:rsidP="007A2179">
      <w:pPr>
        <w:pStyle w:val="Odstavecseseznamem"/>
        <w:numPr>
          <w:ilvl w:val="0"/>
          <w:numId w:val="19"/>
        </w:numPr>
        <w:pBdr>
          <w:top w:val="nil"/>
          <w:left w:val="nil"/>
          <w:bottom w:val="nil"/>
          <w:right w:val="nil"/>
          <w:between w:val="nil"/>
          <w:bar w:val="nil"/>
        </w:pBdr>
        <w:spacing w:before="0" w:after="183"/>
        <w:contextualSpacing w:val="0"/>
        <w:rPr>
          <w:i/>
          <w:iCs/>
          <w:szCs w:val="24"/>
        </w:rPr>
      </w:pPr>
      <w:r>
        <w:rPr>
          <w:rStyle w:val="dn"/>
          <w:i/>
          <w:iCs/>
          <w:szCs w:val="24"/>
        </w:rPr>
        <w:t>Pozastavení řidičsk</w:t>
      </w:r>
      <w:r>
        <w:rPr>
          <w:rStyle w:val="dn"/>
          <w:i/>
          <w:iCs/>
          <w:szCs w:val="24"/>
          <w:lang w:val="fr-FR"/>
        </w:rPr>
        <w:t>é</w:t>
      </w:r>
      <w:r>
        <w:rPr>
          <w:rStyle w:val="dn"/>
          <w:i/>
          <w:iCs/>
          <w:szCs w:val="24"/>
        </w:rPr>
        <w:t>ho oprávnění.</w:t>
      </w:r>
    </w:p>
    <w:p w:rsidR="009B70FF" w:rsidRDefault="009B70FF" w:rsidP="009B70FF">
      <w:pPr>
        <w:spacing w:after="183"/>
        <w:ind w:firstLine="708"/>
        <w:rPr>
          <w:rStyle w:val="dn"/>
          <w:rFonts w:eastAsia="Times New Roman" w:cs="Times New Roman"/>
          <w:szCs w:val="24"/>
        </w:rPr>
      </w:pPr>
      <w:r>
        <w:rPr>
          <w:rStyle w:val="dn"/>
          <w:szCs w:val="24"/>
        </w:rPr>
        <w:t>V případě, že se jedná o jinou povinnost než zaplacení peněžité částky, řídí se exekuce povahou uložen</w:t>
      </w:r>
      <w:r>
        <w:rPr>
          <w:rStyle w:val="dn"/>
          <w:szCs w:val="24"/>
          <w:lang w:val="fr-FR"/>
        </w:rPr>
        <w:t xml:space="preserve">é </w:t>
      </w:r>
      <w:r>
        <w:rPr>
          <w:rStyle w:val="dn"/>
          <w:szCs w:val="24"/>
        </w:rPr>
        <w:t>povinnosti. Takovou exekuci lze podle § 59 odst. 2 zákona č. 120/2001 Sb. následovně:</w:t>
      </w:r>
    </w:p>
    <w:p w:rsidR="009B70FF" w:rsidRDefault="009B70FF" w:rsidP="007A2179">
      <w:pPr>
        <w:pStyle w:val="Odstavecseseznamem"/>
        <w:numPr>
          <w:ilvl w:val="0"/>
          <w:numId w:val="21"/>
        </w:numPr>
        <w:pBdr>
          <w:top w:val="nil"/>
          <w:left w:val="nil"/>
          <w:bottom w:val="nil"/>
          <w:right w:val="nil"/>
          <w:between w:val="nil"/>
          <w:bar w:val="nil"/>
        </w:pBdr>
        <w:spacing w:before="0" w:after="183"/>
        <w:contextualSpacing w:val="0"/>
        <w:rPr>
          <w:i/>
          <w:iCs/>
          <w:szCs w:val="24"/>
        </w:rPr>
      </w:pPr>
      <w:r>
        <w:rPr>
          <w:rStyle w:val="dn"/>
          <w:i/>
          <w:iCs/>
          <w:szCs w:val="24"/>
        </w:rPr>
        <w:t xml:space="preserve">Vyklizením, </w:t>
      </w:r>
    </w:p>
    <w:p w:rsidR="009B70FF" w:rsidRDefault="009B70FF" w:rsidP="007A2179">
      <w:pPr>
        <w:pStyle w:val="Odstavecseseznamem"/>
        <w:numPr>
          <w:ilvl w:val="0"/>
          <w:numId w:val="21"/>
        </w:numPr>
        <w:pBdr>
          <w:top w:val="nil"/>
          <w:left w:val="nil"/>
          <w:bottom w:val="nil"/>
          <w:right w:val="nil"/>
          <w:between w:val="nil"/>
          <w:bar w:val="nil"/>
        </w:pBdr>
        <w:spacing w:before="0" w:after="183"/>
        <w:contextualSpacing w:val="0"/>
        <w:rPr>
          <w:i/>
          <w:iCs/>
          <w:szCs w:val="24"/>
        </w:rPr>
      </w:pPr>
      <w:r>
        <w:rPr>
          <w:rStyle w:val="dn"/>
          <w:i/>
          <w:iCs/>
          <w:szCs w:val="24"/>
        </w:rPr>
        <w:t>Odebráním vě</w:t>
      </w:r>
      <w:r>
        <w:rPr>
          <w:rStyle w:val="dn"/>
          <w:i/>
          <w:iCs/>
          <w:szCs w:val="24"/>
          <w:lang w:val="it-IT"/>
        </w:rPr>
        <w:t xml:space="preserve">ci, </w:t>
      </w:r>
    </w:p>
    <w:p w:rsidR="009B70FF" w:rsidRDefault="009B70FF" w:rsidP="007A2179">
      <w:pPr>
        <w:pStyle w:val="Odstavecseseznamem"/>
        <w:numPr>
          <w:ilvl w:val="0"/>
          <w:numId w:val="21"/>
        </w:numPr>
        <w:pBdr>
          <w:top w:val="nil"/>
          <w:left w:val="nil"/>
          <w:bottom w:val="nil"/>
          <w:right w:val="nil"/>
          <w:between w:val="nil"/>
          <w:bar w:val="nil"/>
        </w:pBdr>
        <w:spacing w:before="0" w:after="183"/>
        <w:contextualSpacing w:val="0"/>
        <w:rPr>
          <w:i/>
          <w:iCs/>
          <w:szCs w:val="24"/>
        </w:rPr>
      </w:pPr>
      <w:r>
        <w:rPr>
          <w:rStyle w:val="dn"/>
          <w:i/>
          <w:iCs/>
          <w:szCs w:val="24"/>
        </w:rPr>
        <w:t>Rozdělením společn</w:t>
      </w:r>
      <w:r>
        <w:rPr>
          <w:rStyle w:val="dn"/>
          <w:i/>
          <w:iCs/>
          <w:szCs w:val="24"/>
          <w:lang w:val="fr-FR"/>
        </w:rPr>
        <w:t xml:space="preserve">é </w:t>
      </w:r>
      <w:r>
        <w:rPr>
          <w:rStyle w:val="dn"/>
          <w:i/>
          <w:iCs/>
          <w:szCs w:val="24"/>
        </w:rPr>
        <w:t>vě</w:t>
      </w:r>
      <w:r>
        <w:rPr>
          <w:rStyle w:val="dn"/>
          <w:i/>
          <w:iCs/>
          <w:szCs w:val="24"/>
          <w:lang w:val="it-IT"/>
        </w:rPr>
        <w:t xml:space="preserve">ci, </w:t>
      </w:r>
    </w:p>
    <w:p w:rsidR="009B70FF" w:rsidRDefault="009B70FF" w:rsidP="007A2179">
      <w:pPr>
        <w:pStyle w:val="Odstavecseseznamem"/>
        <w:numPr>
          <w:ilvl w:val="0"/>
          <w:numId w:val="21"/>
        </w:numPr>
        <w:pBdr>
          <w:top w:val="nil"/>
          <w:left w:val="nil"/>
          <w:bottom w:val="nil"/>
          <w:right w:val="nil"/>
          <w:between w:val="nil"/>
          <w:bar w:val="nil"/>
        </w:pBdr>
        <w:spacing w:before="0" w:after="183"/>
        <w:contextualSpacing w:val="0"/>
        <w:rPr>
          <w:i/>
          <w:iCs/>
          <w:szCs w:val="24"/>
        </w:rPr>
      </w:pPr>
      <w:r>
        <w:rPr>
          <w:rStyle w:val="dn"/>
          <w:i/>
          <w:iCs/>
          <w:szCs w:val="24"/>
        </w:rPr>
        <w:t>Provedením prací a výkonů.</w:t>
      </w:r>
    </w:p>
    <w:p w:rsidR="009B70FF" w:rsidRDefault="00620BFE" w:rsidP="00620BFE">
      <w:pPr>
        <w:pStyle w:val="Nadpis2"/>
        <w:ind w:firstLine="0"/>
        <w:rPr>
          <w:rFonts w:eastAsia="Times New Roman" w:cs="Times New Roman"/>
        </w:rPr>
      </w:pPr>
      <w:bookmarkStart w:id="79" w:name="_Toc26"/>
      <w:bookmarkStart w:id="80" w:name="_Toc18276741"/>
      <w:bookmarkStart w:id="81" w:name="_Toc18313961"/>
      <w:r>
        <w:rPr>
          <w:rStyle w:val="dn"/>
        </w:rPr>
        <w:t>4.3</w:t>
      </w:r>
      <w:r>
        <w:rPr>
          <w:rStyle w:val="dn"/>
        </w:rPr>
        <w:tab/>
      </w:r>
      <w:r w:rsidR="009B70FF" w:rsidRPr="00620BFE">
        <w:rPr>
          <w:rStyle w:val="dn"/>
        </w:rPr>
        <w:t>Soudní</w:t>
      </w:r>
      <w:r w:rsidR="009B70FF">
        <w:rPr>
          <w:rStyle w:val="dn"/>
          <w:color w:val="000000"/>
          <w:u w:color="000000"/>
        </w:rPr>
        <w:t xml:space="preserve"> exekutoř</w:t>
      </w:r>
      <w:r w:rsidR="009B70FF">
        <w:rPr>
          <w:rStyle w:val="dn"/>
          <w:color w:val="000000"/>
          <w:u w:color="000000"/>
          <w:lang w:val="pt-PT"/>
        </w:rPr>
        <w:t>i a exeku</w:t>
      </w:r>
      <w:r w:rsidR="009B70FF">
        <w:rPr>
          <w:rStyle w:val="dn"/>
          <w:color w:val="000000"/>
          <w:u w:color="000000"/>
        </w:rPr>
        <w:t>ční činnost</w:t>
      </w:r>
      <w:bookmarkEnd w:id="79"/>
      <w:bookmarkEnd w:id="80"/>
      <w:bookmarkEnd w:id="81"/>
    </w:p>
    <w:p w:rsidR="009B70FF" w:rsidRDefault="009B70FF" w:rsidP="009B70FF">
      <w:pPr>
        <w:ind w:firstLine="708"/>
        <w:rPr>
          <w:rStyle w:val="dn"/>
          <w:rFonts w:eastAsia="Times New Roman" w:cs="Times New Roman"/>
          <w:szCs w:val="24"/>
        </w:rPr>
      </w:pPr>
      <w:r>
        <w:rPr>
          <w:rStyle w:val="dn"/>
          <w:szCs w:val="24"/>
        </w:rPr>
        <w:t>Účinností zákona č. 201/2001 Sb., o soudních exekutorech a exekučním řízení (exekučním řádem), byla založena nová právnická profese soudního exekutora. Tento nový institut soukromých soudních exekutorů vznikl především z důvodu neefektivnosti našeho soudnictví při vymáhání pohledávek. Příčinnou byla především nepružnost a zdlouhavost soudní</w:t>
      </w:r>
      <w:r>
        <w:rPr>
          <w:rStyle w:val="dn"/>
          <w:szCs w:val="24"/>
          <w:lang w:val="de-DE"/>
        </w:rPr>
        <w:t xml:space="preserve">ch </w:t>
      </w:r>
      <w:r>
        <w:rPr>
          <w:rStyle w:val="dn"/>
          <w:szCs w:val="24"/>
        </w:rPr>
        <w:t>řízení.</w:t>
      </w:r>
      <w:r>
        <w:rPr>
          <w:rStyle w:val="dn"/>
          <w:rFonts w:eastAsia="Times New Roman" w:cs="Times New Roman"/>
          <w:szCs w:val="24"/>
          <w:vertAlign w:val="superscript"/>
        </w:rPr>
        <w:footnoteReference w:id="89"/>
      </w:r>
      <w:r>
        <w:rPr>
          <w:rStyle w:val="dn"/>
          <w:szCs w:val="24"/>
        </w:rPr>
        <w:t xml:space="preserve">  </w:t>
      </w:r>
    </w:p>
    <w:p w:rsidR="009B70FF" w:rsidRPr="00A83924" w:rsidRDefault="00620BFE" w:rsidP="00620BFE">
      <w:pPr>
        <w:pStyle w:val="Nadpis3"/>
        <w:ind w:firstLine="0"/>
        <w:rPr>
          <w:rFonts w:eastAsia="Times New Roman" w:cs="Times New Roman"/>
        </w:rPr>
      </w:pPr>
      <w:bookmarkStart w:id="82" w:name="_Toc27"/>
      <w:bookmarkStart w:id="83" w:name="_Toc18276742"/>
      <w:bookmarkStart w:id="84" w:name="_Toc18313962"/>
      <w:r>
        <w:rPr>
          <w:rStyle w:val="dn"/>
        </w:rPr>
        <w:t>4.3.1</w:t>
      </w:r>
      <w:r>
        <w:rPr>
          <w:rStyle w:val="dn"/>
        </w:rPr>
        <w:tab/>
      </w:r>
      <w:r w:rsidR="009B70FF" w:rsidRPr="00620BFE">
        <w:rPr>
          <w:rStyle w:val="dn"/>
        </w:rPr>
        <w:t>Soudní</w:t>
      </w:r>
      <w:r w:rsidR="009B70FF" w:rsidRPr="00A83924">
        <w:rPr>
          <w:rStyle w:val="dn"/>
          <w:color w:val="000000"/>
          <w:szCs w:val="24"/>
          <w:u w:color="000000"/>
        </w:rPr>
        <w:t xml:space="preserve"> exekutor</w:t>
      </w:r>
      <w:bookmarkEnd w:id="82"/>
      <w:bookmarkEnd w:id="83"/>
      <w:bookmarkEnd w:id="84"/>
    </w:p>
    <w:p w:rsidR="009B70FF" w:rsidRDefault="009B70FF" w:rsidP="009B70FF">
      <w:pPr>
        <w:spacing w:after="240"/>
        <w:ind w:firstLine="708"/>
        <w:rPr>
          <w:rStyle w:val="dn"/>
          <w:rFonts w:eastAsia="Times New Roman" w:cs="Times New Roman"/>
          <w:szCs w:val="24"/>
        </w:rPr>
      </w:pPr>
      <w:r>
        <w:rPr>
          <w:rStyle w:val="dn"/>
          <w:szCs w:val="24"/>
        </w:rPr>
        <w:t>Soudním exekutorem se rozumí fyzická osoba, podnikatel, jež má absolvovanou právnickou fakultu se sídlem v ČR, vykonávala alespoň 3 letou exekutorskou praxi. Touto praxí se rozumí praxe exekutora, exekutorsk</w:t>
      </w:r>
      <w:r>
        <w:rPr>
          <w:rStyle w:val="dn"/>
          <w:szCs w:val="24"/>
          <w:lang w:val="fr-FR"/>
        </w:rPr>
        <w:t>é</w:t>
      </w:r>
      <w:r>
        <w:rPr>
          <w:rStyle w:val="dn"/>
          <w:szCs w:val="24"/>
        </w:rPr>
        <w:t>ho kandidáta či exekutorsk</w:t>
      </w:r>
      <w:r>
        <w:rPr>
          <w:rStyle w:val="dn"/>
          <w:szCs w:val="24"/>
          <w:lang w:val="fr-FR"/>
        </w:rPr>
        <w:t>é</w:t>
      </w:r>
      <w:r>
        <w:rPr>
          <w:rStyle w:val="dn"/>
          <w:szCs w:val="24"/>
        </w:rPr>
        <w:t>ho koncipienta. EKČ</w:t>
      </w:r>
      <w:r>
        <w:rPr>
          <w:rStyle w:val="dn"/>
          <w:szCs w:val="24"/>
          <w:lang w:val="pt-PT"/>
        </w:rPr>
        <w:t>R do t</w:t>
      </w:r>
      <w:r>
        <w:rPr>
          <w:rStyle w:val="dn"/>
          <w:szCs w:val="24"/>
          <w:lang w:val="fr-FR"/>
        </w:rPr>
        <w:t>é</w:t>
      </w:r>
      <w:r>
        <w:rPr>
          <w:rStyle w:val="dn"/>
          <w:szCs w:val="24"/>
        </w:rPr>
        <w:t>to praxe započítává i praxi soudce, soudce Ústavního soudu, asistenta soudce Ústavního soudu či Nejvyššího soudu, advokáta, prokurá</w:t>
      </w:r>
      <w:r>
        <w:rPr>
          <w:rStyle w:val="dn"/>
          <w:szCs w:val="24"/>
          <w:lang w:val="pt-PT"/>
        </w:rPr>
        <w:t>tora, not</w:t>
      </w:r>
      <w:r>
        <w:rPr>
          <w:rStyle w:val="dn"/>
          <w:szCs w:val="24"/>
        </w:rPr>
        <w:t>áře, státního zástupce, justičního čekatele, praxe advokátního č</w:t>
      </w:r>
      <w:r>
        <w:rPr>
          <w:rStyle w:val="dn"/>
          <w:szCs w:val="24"/>
          <w:lang w:val="it-IT"/>
        </w:rPr>
        <w:t>i not</w:t>
      </w:r>
      <w:r>
        <w:rPr>
          <w:rStyle w:val="dn"/>
          <w:szCs w:val="24"/>
        </w:rPr>
        <w:t>ářsk</w:t>
      </w:r>
      <w:r>
        <w:rPr>
          <w:rStyle w:val="dn"/>
          <w:szCs w:val="24"/>
          <w:lang w:val="fr-FR"/>
        </w:rPr>
        <w:t>é</w:t>
      </w:r>
      <w:r>
        <w:rPr>
          <w:rStyle w:val="dn"/>
          <w:szCs w:val="24"/>
        </w:rPr>
        <w:t>ho koncipienta, atd. Co se týče jiných praxí, ministerstvo na žádost může uznat nejvýše 2 roky. Tato osoba musí být bezú</w:t>
      </w:r>
      <w:r>
        <w:rPr>
          <w:rStyle w:val="dn"/>
          <w:szCs w:val="24"/>
          <w:lang w:val="fr-FR"/>
        </w:rPr>
        <w:t>honn</w:t>
      </w:r>
      <w:r>
        <w:rPr>
          <w:rStyle w:val="dn"/>
          <w:szCs w:val="24"/>
        </w:rPr>
        <w:t>á, sv</w:t>
      </w:r>
      <w:r>
        <w:rPr>
          <w:rStyle w:val="dn"/>
          <w:szCs w:val="24"/>
          <w:lang w:val="fr-FR"/>
        </w:rPr>
        <w:t>é</w:t>
      </w:r>
      <w:r>
        <w:rPr>
          <w:rStyle w:val="dn"/>
          <w:szCs w:val="24"/>
        </w:rPr>
        <w:t>právná, musí složit exekutorskou zkoušku, dále je možn</w:t>
      </w:r>
      <w:r>
        <w:rPr>
          <w:rStyle w:val="dn"/>
          <w:szCs w:val="24"/>
          <w:lang w:val="fr-FR"/>
        </w:rPr>
        <w:t xml:space="preserve">é </w:t>
      </w:r>
      <w:r>
        <w:rPr>
          <w:rStyle w:val="dn"/>
          <w:szCs w:val="24"/>
        </w:rPr>
        <w:t>uznat jin</w:t>
      </w:r>
      <w:r>
        <w:rPr>
          <w:rStyle w:val="dn"/>
          <w:szCs w:val="24"/>
          <w:lang w:val="fr-FR"/>
        </w:rPr>
        <w:t xml:space="preserve">é </w:t>
      </w:r>
      <w:r>
        <w:rPr>
          <w:rStyle w:val="dn"/>
          <w:szCs w:val="24"/>
        </w:rPr>
        <w:t>odborn</w:t>
      </w:r>
      <w:r>
        <w:rPr>
          <w:rStyle w:val="dn"/>
          <w:szCs w:val="24"/>
          <w:lang w:val="fr-FR"/>
        </w:rPr>
        <w:t xml:space="preserve">é </w:t>
      </w:r>
      <w:r>
        <w:rPr>
          <w:rStyle w:val="dn"/>
          <w:szCs w:val="24"/>
        </w:rPr>
        <w:t>zkoušky jako zkouš</w:t>
      </w:r>
      <w:r>
        <w:rPr>
          <w:rStyle w:val="dn"/>
          <w:szCs w:val="24"/>
          <w:lang w:val="es-ES_tradnl"/>
        </w:rPr>
        <w:t>ku justi</w:t>
      </w:r>
      <w:r>
        <w:rPr>
          <w:rStyle w:val="dn"/>
          <w:szCs w:val="24"/>
        </w:rPr>
        <w:t>ční, advokátní</w:t>
      </w:r>
      <w:r>
        <w:rPr>
          <w:rStyle w:val="dn"/>
          <w:szCs w:val="24"/>
          <w:lang w:val="en-US"/>
        </w:rPr>
        <w:t>, not</w:t>
      </w:r>
      <w:r>
        <w:rPr>
          <w:rStyle w:val="dn"/>
          <w:szCs w:val="24"/>
        </w:rPr>
        <w:t>ářskou, a další. Musí dále absolvovat výběrové řízení, složit exekutorský slib a být ministrem spravedlnosti jmenována do exekutorsk</w:t>
      </w:r>
      <w:r>
        <w:rPr>
          <w:rStyle w:val="dn"/>
          <w:szCs w:val="24"/>
          <w:lang w:val="fr-FR"/>
        </w:rPr>
        <w:t>é</w:t>
      </w:r>
      <w:r>
        <w:rPr>
          <w:rStyle w:val="dn"/>
          <w:szCs w:val="24"/>
        </w:rPr>
        <w:t>ho úřadu. Je nutné</w:t>
      </w:r>
      <w:r w:rsidR="00D16E75">
        <w:rPr>
          <w:rStyle w:val="dn"/>
          <w:szCs w:val="24"/>
        </w:rPr>
        <w:t>,</w:t>
      </w:r>
      <w:r>
        <w:rPr>
          <w:rStyle w:val="dn"/>
          <w:szCs w:val="24"/>
        </w:rPr>
        <w:t xml:space="preserve"> aby následně tato osoba uzavřela smlouvu o pojištění odpovědnosti za škodu, jež by mohla vzniknout v souvislosti s jeho exekuční činností.</w:t>
      </w:r>
      <w:r>
        <w:rPr>
          <w:rStyle w:val="dn"/>
          <w:rFonts w:eastAsia="Times New Roman" w:cs="Times New Roman"/>
          <w:szCs w:val="24"/>
          <w:vertAlign w:val="superscript"/>
        </w:rPr>
        <w:footnoteReference w:id="90"/>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ab/>
        <w:t>Exekutor, jako</w:t>
      </w:r>
      <w:r>
        <w:rPr>
          <w:rStyle w:val="dn"/>
          <w:szCs w:val="24"/>
        </w:rPr>
        <w:t xml:space="preserve">žto podnikatel, vykonává </w:t>
      </w:r>
      <w:r>
        <w:rPr>
          <w:rStyle w:val="dn"/>
          <w:szCs w:val="24"/>
          <w:lang w:val="pt-PT"/>
        </w:rPr>
        <w:t>exeku</w:t>
      </w:r>
      <w:r>
        <w:rPr>
          <w:rStyle w:val="dn"/>
          <w:szCs w:val="24"/>
        </w:rPr>
        <w:t>ční činnosti za úplatu. Je pověřen vedením exekutorsk</w:t>
      </w:r>
      <w:r>
        <w:rPr>
          <w:rStyle w:val="dn"/>
          <w:szCs w:val="24"/>
          <w:lang w:val="fr-FR"/>
        </w:rPr>
        <w:t>é</w:t>
      </w:r>
      <w:r>
        <w:rPr>
          <w:rStyle w:val="dn"/>
          <w:szCs w:val="24"/>
        </w:rPr>
        <w:t>ho úřadu v jehož sídle zaměstnává exekutorsk</w:t>
      </w:r>
      <w:r>
        <w:rPr>
          <w:rStyle w:val="dn"/>
          <w:szCs w:val="24"/>
          <w:lang w:val="fr-FR"/>
        </w:rPr>
        <w:t xml:space="preserve">é </w:t>
      </w:r>
      <w:r>
        <w:rPr>
          <w:rStyle w:val="dn"/>
          <w:szCs w:val="24"/>
        </w:rPr>
        <w:t>kandidáty, koncipienty, vykonavatele a další zaměstnance. Svou činnost může exekutor vykonávat na cel</w:t>
      </w:r>
      <w:r>
        <w:rPr>
          <w:rStyle w:val="dn"/>
          <w:szCs w:val="24"/>
          <w:lang w:val="fr-FR"/>
        </w:rPr>
        <w:t>é</w:t>
      </w:r>
      <w:r>
        <w:rPr>
          <w:rStyle w:val="dn"/>
          <w:szCs w:val="24"/>
        </w:rPr>
        <w:t>m území ČR, nicm</w:t>
      </w:r>
      <w:r>
        <w:rPr>
          <w:rStyle w:val="dn"/>
          <w:szCs w:val="24"/>
          <w:lang w:val="fr-FR"/>
        </w:rPr>
        <w:t>é</w:t>
      </w:r>
      <w:r>
        <w:rPr>
          <w:rStyle w:val="dn"/>
          <w:szCs w:val="24"/>
        </w:rPr>
        <w:t>ně sídlo jeho úřadu musí být totožn</w:t>
      </w:r>
      <w:r>
        <w:rPr>
          <w:rStyle w:val="dn"/>
          <w:szCs w:val="24"/>
          <w:lang w:val="fr-FR"/>
        </w:rPr>
        <w:t xml:space="preserve">é </w:t>
      </w:r>
      <w:r>
        <w:rPr>
          <w:rStyle w:val="dn"/>
          <w:szCs w:val="24"/>
        </w:rPr>
        <w:t xml:space="preserve">se sídlem soudu, do jehož obvodu byl jmenován. Exekutora si v návrhu může každý </w:t>
      </w:r>
      <w:r>
        <w:rPr>
          <w:rStyle w:val="dn"/>
          <w:szCs w:val="24"/>
          <w:lang w:val="it-IT"/>
        </w:rPr>
        <w:t>opr</w:t>
      </w:r>
      <w:r>
        <w:rPr>
          <w:rStyle w:val="dn"/>
          <w:szCs w:val="24"/>
        </w:rPr>
        <w:t>ávněný vybrat. Pokud exekutora oprávněný v návrhu na provedení exekuce navrhne a příslušný soud jej svým rozhodnutím pověří, může pak tento prov</w:t>
      </w:r>
      <w:r>
        <w:rPr>
          <w:rStyle w:val="dn"/>
          <w:szCs w:val="24"/>
          <w:lang w:val="fr-FR"/>
        </w:rPr>
        <w:t>é</w:t>
      </w:r>
      <w:r>
        <w:rPr>
          <w:rStyle w:val="dn"/>
          <w:szCs w:val="24"/>
        </w:rPr>
        <w:t>st exekuci. Úkony exekutora jsou považovány za úkony soudu. V případě že exekutor způ</w:t>
      </w:r>
      <w:r>
        <w:rPr>
          <w:rStyle w:val="dn"/>
          <w:szCs w:val="24"/>
          <w:lang w:val="es-ES_tradnl"/>
        </w:rPr>
        <w:t>sob</w:t>
      </w:r>
      <w:r>
        <w:rPr>
          <w:rStyle w:val="dn"/>
          <w:szCs w:val="24"/>
        </w:rPr>
        <w:t>í během své činnosti škodu, odpovídá za ní poš</w:t>
      </w:r>
      <w:r>
        <w:rPr>
          <w:rStyle w:val="dn"/>
          <w:szCs w:val="24"/>
          <w:lang w:val="nl-NL"/>
        </w:rPr>
        <w:t>kozen</w:t>
      </w:r>
      <w:r>
        <w:rPr>
          <w:rStyle w:val="dn"/>
          <w:szCs w:val="24"/>
          <w:lang w:val="fr-FR"/>
        </w:rPr>
        <w:t>é</w:t>
      </w:r>
      <w:r>
        <w:rPr>
          <w:rStyle w:val="dn"/>
          <w:szCs w:val="24"/>
        </w:rPr>
        <w:t>mu sám. Za pochybení, způsobená exekutorem v postavení úřední osoby, však odpovídá stát.</w:t>
      </w:r>
      <w:r>
        <w:rPr>
          <w:rStyle w:val="dn"/>
          <w:rFonts w:eastAsia="Times New Roman" w:cs="Times New Roman"/>
          <w:szCs w:val="24"/>
          <w:vertAlign w:val="superscript"/>
        </w:rPr>
        <w:footnoteReference w:id="91"/>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Při výkonu sv</w:t>
      </w:r>
      <w:r>
        <w:rPr>
          <w:rStyle w:val="dn"/>
          <w:szCs w:val="24"/>
          <w:lang w:val="fr-FR"/>
        </w:rPr>
        <w:t xml:space="preserve">é </w:t>
      </w:r>
      <w:r>
        <w:rPr>
          <w:rStyle w:val="dn"/>
          <w:szCs w:val="24"/>
          <w:lang w:val="pt-PT"/>
        </w:rPr>
        <w:t>exeku</w:t>
      </w:r>
      <w:r>
        <w:rPr>
          <w:rStyle w:val="dn"/>
          <w:szCs w:val="24"/>
        </w:rPr>
        <w:t>ční činnosti má soudní exekutor postavení úřední osoby a požívá tak vešker</w:t>
      </w:r>
      <w:r>
        <w:rPr>
          <w:rStyle w:val="dn"/>
          <w:szCs w:val="24"/>
          <w:lang w:val="fr-FR"/>
        </w:rPr>
        <w:t xml:space="preserve">é </w:t>
      </w:r>
      <w:r>
        <w:rPr>
          <w:rStyle w:val="dn"/>
          <w:szCs w:val="24"/>
        </w:rPr>
        <w:t>ochrany. Toto postavení má exekutor pouze při výkonu exekuční činnosti, kterou</w:t>
      </w:r>
      <w:r>
        <w:rPr>
          <w:rStyle w:val="dn"/>
          <w:szCs w:val="24"/>
          <w:lang w:val="fr-FR"/>
        </w:rPr>
        <w:t xml:space="preserve"> </w:t>
      </w:r>
      <w:r>
        <w:rPr>
          <w:rStyle w:val="dn"/>
          <w:szCs w:val="24"/>
        </w:rPr>
        <w:t>vykonává z pověření soudu či státního zástupce. Původně se jednalo o veřejné činitele, nicm</w:t>
      </w:r>
      <w:r>
        <w:rPr>
          <w:rStyle w:val="dn"/>
          <w:szCs w:val="24"/>
          <w:lang w:val="fr-FR"/>
        </w:rPr>
        <w:t>é</w:t>
      </w:r>
      <w:r>
        <w:rPr>
          <w:rStyle w:val="dn"/>
          <w:szCs w:val="24"/>
        </w:rPr>
        <w:t>ně společně s účinností nov</w:t>
      </w:r>
      <w:r>
        <w:rPr>
          <w:rStyle w:val="dn"/>
          <w:szCs w:val="24"/>
          <w:lang w:val="fr-FR"/>
        </w:rPr>
        <w:t>é</w:t>
      </w:r>
      <w:r>
        <w:rPr>
          <w:rStyle w:val="dn"/>
          <w:szCs w:val="24"/>
        </w:rPr>
        <w:t xml:space="preserve">ho trestního zákoníku se nyní </w:t>
      </w:r>
      <w:r>
        <w:rPr>
          <w:rStyle w:val="dn"/>
          <w:szCs w:val="24"/>
          <w:lang w:val="fr-FR"/>
        </w:rPr>
        <w:t>pou</w:t>
      </w:r>
      <w:r>
        <w:rPr>
          <w:rStyle w:val="dn"/>
          <w:szCs w:val="24"/>
        </w:rPr>
        <w:t>žívá termín úřední osoba. Exekutorovi, jakož</w:t>
      </w:r>
      <w:r>
        <w:rPr>
          <w:rStyle w:val="dn"/>
          <w:szCs w:val="24"/>
          <w:lang w:val="en-US"/>
        </w:rPr>
        <w:t xml:space="preserve">to </w:t>
      </w:r>
      <w:r>
        <w:rPr>
          <w:rStyle w:val="dn"/>
          <w:szCs w:val="24"/>
        </w:rPr>
        <w:t>úřední osobě tak stát přiznává vyšší míru ochrany př</w:t>
      </w:r>
      <w:r>
        <w:rPr>
          <w:rStyle w:val="dn"/>
          <w:szCs w:val="24"/>
          <w:lang w:val="nl-NL"/>
        </w:rPr>
        <w:t>ed z</w:t>
      </w:r>
      <w:r>
        <w:rPr>
          <w:rStyle w:val="dn"/>
          <w:szCs w:val="24"/>
        </w:rPr>
        <w:t>ásahy třetích osob, jelikož provádí úkony, kter</w:t>
      </w:r>
      <w:r>
        <w:rPr>
          <w:rStyle w:val="dn"/>
          <w:szCs w:val="24"/>
          <w:lang w:val="fr-FR"/>
        </w:rPr>
        <w:t xml:space="preserve">é </w:t>
      </w:r>
      <w:r>
        <w:rPr>
          <w:rStyle w:val="dn"/>
          <w:szCs w:val="24"/>
        </w:rPr>
        <w:t xml:space="preserve">jsou součástí autoritativní </w:t>
      </w:r>
      <w:r>
        <w:rPr>
          <w:rStyle w:val="dn"/>
          <w:szCs w:val="24"/>
          <w:lang w:val="it-IT"/>
        </w:rPr>
        <w:t>role st</w:t>
      </w:r>
      <w:r>
        <w:rPr>
          <w:rStyle w:val="dn"/>
          <w:szCs w:val="24"/>
        </w:rPr>
        <w:t>átu. Zároveň však v souladu se zásadami právního státu větší trestněprávní odpovědnost, která je spojená s výkonem jeho činnosti. Stá</w:t>
      </w:r>
      <w:r>
        <w:rPr>
          <w:rStyle w:val="dn"/>
          <w:szCs w:val="24"/>
          <w:lang w:val="it-IT"/>
        </w:rPr>
        <w:t xml:space="preserve">t tento statut </w:t>
      </w:r>
      <w:r>
        <w:rPr>
          <w:rStyle w:val="dn"/>
          <w:szCs w:val="24"/>
        </w:rPr>
        <w:t>úřední osoby přiznává i exekutorsk</w:t>
      </w:r>
      <w:r>
        <w:rPr>
          <w:rStyle w:val="dn"/>
          <w:szCs w:val="24"/>
          <w:lang w:val="fr-FR"/>
        </w:rPr>
        <w:t>é</w:t>
      </w:r>
      <w:r>
        <w:rPr>
          <w:rStyle w:val="dn"/>
          <w:szCs w:val="24"/>
        </w:rPr>
        <w:t>mu kandidátovi. Co se týče vykonavatele soudního exekutora, lze jej za určitých zá</w:t>
      </w:r>
      <w:r>
        <w:rPr>
          <w:rStyle w:val="dn"/>
          <w:szCs w:val="24"/>
          <w:lang w:val="de-DE"/>
        </w:rPr>
        <w:t>konn</w:t>
      </w:r>
      <w:r>
        <w:rPr>
          <w:rStyle w:val="dn"/>
          <w:szCs w:val="24"/>
        </w:rPr>
        <w:t>ých podmínek tak</w:t>
      </w:r>
      <w:r>
        <w:rPr>
          <w:rStyle w:val="dn"/>
          <w:szCs w:val="24"/>
          <w:lang w:val="fr-FR"/>
        </w:rPr>
        <w:t xml:space="preserve">é </w:t>
      </w:r>
      <w:r>
        <w:rPr>
          <w:rStyle w:val="dn"/>
          <w:szCs w:val="24"/>
        </w:rPr>
        <w:t>považovat za úřední osobu. Pokud vykonává exekutorskou činnost z pověření exekutora, přiznává se toto postavení i exekutorsk</w:t>
      </w:r>
      <w:r>
        <w:rPr>
          <w:rStyle w:val="dn"/>
          <w:szCs w:val="24"/>
          <w:lang w:val="fr-FR"/>
        </w:rPr>
        <w:t>é</w:t>
      </w:r>
      <w:r>
        <w:rPr>
          <w:rStyle w:val="dn"/>
          <w:szCs w:val="24"/>
        </w:rPr>
        <w:t>mu koncipientovi.</w:t>
      </w:r>
      <w:r>
        <w:rPr>
          <w:rStyle w:val="dn"/>
          <w:rFonts w:eastAsia="Times New Roman" w:cs="Times New Roman"/>
          <w:szCs w:val="24"/>
          <w:vertAlign w:val="superscript"/>
        </w:rPr>
        <w:footnoteReference w:id="92"/>
      </w:r>
      <w:r>
        <w:rPr>
          <w:rStyle w:val="dn"/>
          <w:szCs w:val="24"/>
        </w:rPr>
        <w:t xml:space="preserve"> </w:t>
      </w:r>
    </w:p>
    <w:p w:rsidR="009B70FF" w:rsidRPr="00A83924" w:rsidRDefault="00620BFE" w:rsidP="00620BFE">
      <w:pPr>
        <w:pStyle w:val="Nadpis3"/>
        <w:ind w:firstLine="0"/>
        <w:rPr>
          <w:rFonts w:eastAsia="Times New Roman" w:cs="Times New Roman"/>
        </w:rPr>
      </w:pPr>
      <w:bookmarkStart w:id="85" w:name="_Toc28"/>
      <w:bookmarkStart w:id="86" w:name="_Toc18276743"/>
      <w:bookmarkStart w:id="87" w:name="_Toc18313963"/>
      <w:r>
        <w:rPr>
          <w:rStyle w:val="dn"/>
          <w:szCs w:val="24"/>
          <w:u w:color="000000"/>
        </w:rPr>
        <w:t>4.3.2</w:t>
      </w:r>
      <w:r>
        <w:rPr>
          <w:rStyle w:val="dn"/>
          <w:szCs w:val="24"/>
          <w:u w:color="000000"/>
        </w:rPr>
        <w:tab/>
      </w:r>
      <w:r w:rsidR="009B70FF" w:rsidRPr="00A83924">
        <w:rPr>
          <w:rStyle w:val="dn"/>
          <w:szCs w:val="24"/>
          <w:u w:color="000000"/>
        </w:rPr>
        <w:t xml:space="preserve">Organizace soukromých soudních </w:t>
      </w:r>
      <w:r w:rsidR="009B70FF" w:rsidRPr="00620BFE">
        <w:rPr>
          <w:rStyle w:val="dn"/>
        </w:rPr>
        <w:t>exekutorů</w:t>
      </w:r>
      <w:bookmarkEnd w:id="85"/>
      <w:bookmarkEnd w:id="86"/>
      <w:bookmarkEnd w:id="87"/>
    </w:p>
    <w:p w:rsidR="009B70FF" w:rsidRDefault="009B70FF" w:rsidP="009B70FF">
      <w:pPr>
        <w:spacing w:after="240"/>
        <w:ind w:firstLine="708"/>
        <w:rPr>
          <w:rStyle w:val="dn"/>
          <w:rFonts w:eastAsia="Times New Roman" w:cs="Times New Roman"/>
          <w:szCs w:val="24"/>
        </w:rPr>
      </w:pPr>
      <w:r>
        <w:rPr>
          <w:rStyle w:val="dn"/>
          <w:szCs w:val="24"/>
        </w:rPr>
        <w:t>Orgán, jenž sdružuje soudní exekutory, se nazývá Exekutorská komora a sídlí v Brně. Vznik exekutorsk</w:t>
      </w:r>
      <w:r>
        <w:rPr>
          <w:rStyle w:val="dn"/>
          <w:szCs w:val="24"/>
          <w:lang w:val="fr-FR"/>
        </w:rPr>
        <w:t xml:space="preserve">é </w:t>
      </w:r>
      <w:r>
        <w:rPr>
          <w:rStyle w:val="dn"/>
          <w:szCs w:val="24"/>
        </w:rPr>
        <w:t xml:space="preserve">komory je spojen se dnem, kdy nabyl účinnosti nový </w:t>
      </w:r>
      <w:r>
        <w:rPr>
          <w:rStyle w:val="dn"/>
          <w:szCs w:val="24"/>
          <w:lang w:val="pt-PT"/>
        </w:rPr>
        <w:t>exeku</w:t>
      </w:r>
      <w:r>
        <w:rPr>
          <w:rStyle w:val="dn"/>
          <w:szCs w:val="24"/>
        </w:rPr>
        <w:t>ční řád, tj. 1. 5. 2001. Exekutorská komora je právnickou osobou a vykonává dohled nad exekutory a jejich veš</w:t>
      </w:r>
      <w:r>
        <w:rPr>
          <w:rStyle w:val="dn"/>
          <w:szCs w:val="24"/>
          <w:lang w:val="pt-PT"/>
        </w:rPr>
        <w:t xml:space="preserve">kerou </w:t>
      </w:r>
      <w:r>
        <w:rPr>
          <w:rStyle w:val="dn"/>
          <w:szCs w:val="24"/>
        </w:rPr>
        <w:t>činností. Komora vede seznam všech soudních exekutorů, kandidátů a koncipientů. Exekutor se povinně stává členem EKČR dnem jmenování do jeho úřadu. Členství soudního exekutora zaniká jeho smrtí, prohlášením za mrtv</w:t>
      </w:r>
      <w:r>
        <w:rPr>
          <w:rStyle w:val="dn"/>
          <w:szCs w:val="24"/>
          <w:lang w:val="fr-FR"/>
        </w:rPr>
        <w:t>é</w:t>
      </w:r>
      <w:r>
        <w:rPr>
          <w:rStyle w:val="dn"/>
          <w:szCs w:val="24"/>
        </w:rPr>
        <w:t>ho či jeho odvoláním. Exekutorská komora dále vydává exekutorům razítka a pečetidla, jejich průkazy, navrhuje odvolání exekutora, provádí exekutorsk</w:t>
      </w:r>
      <w:r>
        <w:rPr>
          <w:rStyle w:val="dn"/>
          <w:szCs w:val="24"/>
          <w:lang w:val="fr-FR"/>
        </w:rPr>
        <w:t xml:space="preserve">é </w:t>
      </w:r>
      <w:r>
        <w:rPr>
          <w:rStyle w:val="dn"/>
          <w:szCs w:val="24"/>
        </w:rPr>
        <w:t>zkoušky, rozhoduje o změně sídla exekutorsk</w:t>
      </w:r>
      <w:r>
        <w:rPr>
          <w:rStyle w:val="dn"/>
          <w:szCs w:val="24"/>
          <w:lang w:val="fr-FR"/>
        </w:rPr>
        <w:t>é</w:t>
      </w:r>
      <w:r>
        <w:rPr>
          <w:rStyle w:val="dn"/>
          <w:szCs w:val="24"/>
        </w:rPr>
        <w:t>ho obvodu, projednává kárn</w:t>
      </w:r>
      <w:r>
        <w:rPr>
          <w:rStyle w:val="dn"/>
          <w:szCs w:val="24"/>
          <w:lang w:val="fr-FR"/>
        </w:rPr>
        <w:t xml:space="preserve">é </w:t>
      </w:r>
      <w:r>
        <w:rPr>
          <w:rStyle w:val="dn"/>
          <w:szCs w:val="24"/>
        </w:rPr>
        <w:t>návrhy a vede centrální evidenci exekucí, kter</w:t>
      </w:r>
      <w:r>
        <w:rPr>
          <w:rStyle w:val="dn"/>
          <w:szCs w:val="24"/>
          <w:lang w:val="fr-FR"/>
        </w:rPr>
        <w:t xml:space="preserve">é </w:t>
      </w:r>
      <w:r>
        <w:rPr>
          <w:rStyle w:val="dn"/>
          <w:szCs w:val="24"/>
        </w:rPr>
        <w:t>byly nařízeny. Centrální evidence je každ</w:t>
      </w:r>
      <w:r>
        <w:rPr>
          <w:rStyle w:val="dn"/>
          <w:szCs w:val="24"/>
          <w:lang w:val="fr-FR"/>
        </w:rPr>
        <w:t>é</w:t>
      </w:r>
      <w:r>
        <w:rPr>
          <w:rStyle w:val="dn"/>
          <w:szCs w:val="24"/>
        </w:rPr>
        <w:t>mu volně přístupná.</w:t>
      </w:r>
      <w:r>
        <w:rPr>
          <w:rStyle w:val="dn"/>
          <w:rFonts w:eastAsia="Times New Roman" w:cs="Times New Roman"/>
          <w:szCs w:val="24"/>
          <w:vertAlign w:val="superscript"/>
        </w:rPr>
        <w:footnoteReference w:id="93"/>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Exekutorská komora má sv</w:t>
      </w:r>
      <w:r>
        <w:rPr>
          <w:rStyle w:val="dn"/>
          <w:szCs w:val="24"/>
          <w:lang w:val="fr-FR"/>
        </w:rPr>
        <w:t xml:space="preserve">é </w:t>
      </w:r>
      <w:r>
        <w:rPr>
          <w:rStyle w:val="dn"/>
          <w:szCs w:val="24"/>
        </w:rPr>
        <w:t xml:space="preserve">vlastní orgány. Tyto orgány jsou vymezeny v § 110- § 115a, zákona č.120/2001 Sb. Jsou jimi </w:t>
      </w:r>
      <w:r w:rsidRPr="00E03212">
        <w:rPr>
          <w:rStyle w:val="dn"/>
          <w:b/>
          <w:i/>
          <w:szCs w:val="24"/>
        </w:rPr>
        <w:t>nejvyšší</w:t>
      </w:r>
      <w:r>
        <w:rPr>
          <w:rStyle w:val="dn"/>
          <w:szCs w:val="24"/>
        </w:rPr>
        <w:t xml:space="preserve"> </w:t>
      </w:r>
      <w:r>
        <w:rPr>
          <w:rStyle w:val="dn"/>
          <w:b/>
          <w:bCs/>
          <w:i/>
          <w:iCs/>
          <w:szCs w:val="24"/>
        </w:rPr>
        <w:t xml:space="preserve">sněm, prezidium komory, prezident komory, revizní komise, kontrolní komise, kárná komise, zkušební a výběrová komise. </w:t>
      </w:r>
      <w:r>
        <w:rPr>
          <w:rStyle w:val="dn"/>
          <w:szCs w:val="24"/>
          <w:lang w:val="de-DE"/>
        </w:rPr>
        <w:t>Funk</w:t>
      </w:r>
      <w:r>
        <w:rPr>
          <w:rStyle w:val="dn"/>
          <w:szCs w:val="24"/>
        </w:rPr>
        <w:t>ční období těchto orgánů je 3 roky.</w:t>
      </w:r>
      <w:r>
        <w:rPr>
          <w:rStyle w:val="dn"/>
          <w:b/>
          <w:bCs/>
          <w:i/>
          <w:iCs/>
          <w:szCs w:val="24"/>
        </w:rPr>
        <w:t xml:space="preserve"> </w:t>
      </w:r>
      <w:r>
        <w:rPr>
          <w:rStyle w:val="dn"/>
          <w:szCs w:val="24"/>
        </w:rPr>
        <w:t>Každý exekutor má ode dne jmenování, právo volit a být volen do těchto orgánů EKČR. Každý č</w:t>
      </w:r>
      <w:r>
        <w:rPr>
          <w:rStyle w:val="dn"/>
          <w:szCs w:val="24"/>
          <w:lang w:val="nl-NL"/>
        </w:rPr>
        <w:t>len org</w:t>
      </w:r>
      <w:r>
        <w:rPr>
          <w:rStyle w:val="dn"/>
          <w:szCs w:val="24"/>
        </w:rPr>
        <w:t xml:space="preserve">ánu komory je povinen svou funkci vykonávat osobně a zastoupení </w:t>
      </w:r>
      <w:r>
        <w:rPr>
          <w:rStyle w:val="dn"/>
          <w:szCs w:val="24"/>
          <w:lang w:val="de-DE"/>
        </w:rPr>
        <w:t>nen</w:t>
      </w:r>
      <w:r>
        <w:rPr>
          <w:rStyle w:val="dn"/>
          <w:szCs w:val="24"/>
        </w:rPr>
        <w:t>í přípustn</w:t>
      </w:r>
      <w:r>
        <w:rPr>
          <w:rStyle w:val="dn"/>
          <w:szCs w:val="24"/>
          <w:lang w:val="fr-FR"/>
        </w:rPr>
        <w:t>é</w:t>
      </w:r>
      <w:r>
        <w:rPr>
          <w:rStyle w:val="dn"/>
          <w:szCs w:val="24"/>
        </w:rPr>
        <w:t>.</w:t>
      </w:r>
      <w:r>
        <w:rPr>
          <w:rStyle w:val="dn"/>
          <w:rFonts w:eastAsia="Times New Roman" w:cs="Times New Roman"/>
          <w:szCs w:val="24"/>
          <w:vertAlign w:val="superscript"/>
        </w:rPr>
        <w:footnoteReference w:id="94"/>
      </w:r>
      <w:r>
        <w:rPr>
          <w:rStyle w:val="dn"/>
          <w:szCs w:val="24"/>
        </w:rPr>
        <w:t xml:space="preserve">  </w:t>
      </w:r>
    </w:p>
    <w:p w:rsidR="009B70FF" w:rsidRDefault="00620BFE" w:rsidP="00620BFE">
      <w:pPr>
        <w:pStyle w:val="Nadpis4"/>
        <w:ind w:firstLine="0"/>
      </w:pPr>
      <w:r>
        <w:rPr>
          <w:rStyle w:val="dn"/>
          <w:color w:val="000000"/>
          <w:u w:color="000000"/>
        </w:rPr>
        <w:t>4.3.2.1</w:t>
      </w:r>
      <w:r>
        <w:rPr>
          <w:rStyle w:val="dn"/>
          <w:color w:val="000000"/>
          <w:u w:color="000000"/>
        </w:rPr>
        <w:tab/>
      </w:r>
      <w:r w:rsidR="009B70FF">
        <w:rPr>
          <w:rStyle w:val="dn"/>
          <w:color w:val="000000"/>
          <w:u w:color="000000"/>
        </w:rPr>
        <w:t>Sněm exekutorů</w:t>
      </w:r>
    </w:p>
    <w:p w:rsidR="009B70FF" w:rsidRDefault="009B70FF" w:rsidP="009B70FF">
      <w:pPr>
        <w:spacing w:after="220"/>
        <w:ind w:firstLine="708"/>
        <w:rPr>
          <w:rStyle w:val="dn"/>
          <w:rFonts w:eastAsia="Times New Roman" w:cs="Times New Roman"/>
          <w:szCs w:val="24"/>
        </w:rPr>
      </w:pPr>
      <w:r>
        <w:rPr>
          <w:rStyle w:val="dn"/>
          <w:szCs w:val="24"/>
        </w:rPr>
        <w:t>Nejvyšším orgánem Komory je Sně</w:t>
      </w:r>
      <w:r>
        <w:rPr>
          <w:rStyle w:val="dn"/>
          <w:szCs w:val="24"/>
          <w:lang w:val="pt-PT"/>
        </w:rPr>
        <w:t>m a p</w:t>
      </w:r>
      <w:r>
        <w:rPr>
          <w:rStyle w:val="dn"/>
          <w:szCs w:val="24"/>
        </w:rPr>
        <w:t>řísluší mu vešker</w:t>
      </w:r>
      <w:r>
        <w:rPr>
          <w:rStyle w:val="dn"/>
          <w:szCs w:val="24"/>
          <w:lang w:val="fr-FR"/>
        </w:rPr>
        <w:t xml:space="preserve">é </w:t>
      </w:r>
      <w:r>
        <w:rPr>
          <w:rStyle w:val="dn"/>
          <w:szCs w:val="24"/>
        </w:rPr>
        <w:t>pravomoci, krom těch, kter</w:t>
      </w:r>
      <w:r>
        <w:rPr>
          <w:rStyle w:val="dn"/>
          <w:szCs w:val="24"/>
          <w:lang w:val="fr-FR"/>
        </w:rPr>
        <w:t xml:space="preserve">é </w:t>
      </w:r>
      <w:r>
        <w:rPr>
          <w:rStyle w:val="dn"/>
          <w:szCs w:val="24"/>
        </w:rPr>
        <w:t>jsou svěřeny jin</w:t>
      </w:r>
      <w:r>
        <w:rPr>
          <w:rStyle w:val="dn"/>
          <w:szCs w:val="24"/>
          <w:lang w:val="fr-FR"/>
        </w:rPr>
        <w:t>é</w:t>
      </w:r>
      <w:r>
        <w:rPr>
          <w:rStyle w:val="dn"/>
          <w:szCs w:val="24"/>
        </w:rPr>
        <w:t>mu orgánu. Sněm volí většinu členů komory, a tím se podílí na jejím celkov</w:t>
      </w:r>
      <w:r>
        <w:rPr>
          <w:rStyle w:val="dn"/>
          <w:szCs w:val="24"/>
          <w:lang w:val="fr-FR"/>
        </w:rPr>
        <w:t>é</w:t>
      </w:r>
      <w:r>
        <w:rPr>
          <w:rStyle w:val="dn"/>
          <w:szCs w:val="24"/>
        </w:rPr>
        <w:t>m utváření. Má kontrolní pravomoc vůči prezidiu a může změnit či zrušit jeho usnesení. Sněm reguluje činnost ostatních orgánů komory a exekutorů, a to na základě přijímání stavovských předpisů. Každý exekutor má ode dne jmenování právo se sněmu účastnit. Toto právo mu náleží až do zániku výkonu exekutorsk</w:t>
      </w:r>
      <w:r>
        <w:rPr>
          <w:rStyle w:val="dn"/>
          <w:szCs w:val="24"/>
          <w:lang w:val="fr-FR"/>
        </w:rPr>
        <w:t>é</w:t>
      </w:r>
      <w:r>
        <w:rPr>
          <w:rStyle w:val="dn"/>
          <w:szCs w:val="24"/>
        </w:rPr>
        <w:t>ho úřadu, tudíž se sněmu může účastnit i exekutor, jemuž byla pozastavena činnost. Sněm je svoláván jednou za dva roky a svolává jej další orgán, a  to prezidium. Jednání sněmu řídí prezident EKČR.</w:t>
      </w:r>
      <w:r>
        <w:rPr>
          <w:rStyle w:val="dn"/>
          <w:rFonts w:eastAsia="Times New Roman" w:cs="Times New Roman"/>
          <w:szCs w:val="24"/>
          <w:vertAlign w:val="superscript"/>
        </w:rPr>
        <w:footnoteReference w:id="95"/>
      </w:r>
    </w:p>
    <w:p w:rsidR="009B70FF" w:rsidRDefault="009B70FF" w:rsidP="009B70FF">
      <w:pPr>
        <w:ind w:firstLine="708"/>
        <w:rPr>
          <w:rStyle w:val="dn"/>
          <w:rFonts w:eastAsia="Times New Roman" w:cs="Times New Roman"/>
          <w:szCs w:val="24"/>
        </w:rPr>
      </w:pPr>
      <w:r>
        <w:rPr>
          <w:rStyle w:val="dn"/>
          <w:szCs w:val="24"/>
        </w:rPr>
        <w:t>V rámci hlasování je sněm usnášeníschopný, jestliže je přítomna nadpoloviční většina exekutorů zapsaných v seznamu. Pokud sněm není schopný usnášení</w:t>
      </w:r>
      <w:r>
        <w:rPr>
          <w:rStyle w:val="dn"/>
          <w:szCs w:val="24"/>
          <w:lang w:val="it-IT"/>
        </w:rPr>
        <w:t>, svol</w:t>
      </w:r>
      <w:r>
        <w:rPr>
          <w:rStyle w:val="dn"/>
          <w:szCs w:val="24"/>
        </w:rPr>
        <w:t>á se do 2 měsíců nový sně</w:t>
      </w:r>
      <w:r>
        <w:rPr>
          <w:rStyle w:val="dn"/>
          <w:szCs w:val="24"/>
          <w:lang w:val="pt-PT"/>
        </w:rPr>
        <w:t>m a tento sn</w:t>
      </w:r>
      <w:r>
        <w:rPr>
          <w:rStyle w:val="dn"/>
          <w:szCs w:val="24"/>
        </w:rPr>
        <w:t>ěm je schopný usnášení v přítomnosti alespoň jedné třetiny všech exekutorů zapsaných v seznamu. K tomu, aby usnesení sněmu bylo platn</w:t>
      </w:r>
      <w:r>
        <w:rPr>
          <w:rStyle w:val="dn"/>
          <w:szCs w:val="24"/>
          <w:lang w:val="fr-FR"/>
        </w:rPr>
        <w:t>é</w:t>
      </w:r>
      <w:r>
        <w:rPr>
          <w:rStyle w:val="dn"/>
          <w:szCs w:val="24"/>
        </w:rPr>
        <w:t>, musí souhlasit většina přítomných exekutorů. Hlasování je veřejn</w:t>
      </w:r>
      <w:r>
        <w:rPr>
          <w:rStyle w:val="dn"/>
          <w:szCs w:val="24"/>
          <w:lang w:val="fr-FR"/>
        </w:rPr>
        <w:t xml:space="preserve">é </w:t>
      </w:r>
      <w:r>
        <w:rPr>
          <w:rStyle w:val="dn"/>
          <w:szCs w:val="24"/>
        </w:rPr>
        <w:t>a v případě voleb do orgánu Komory se vyžaduje hlasování tajn</w:t>
      </w:r>
      <w:r>
        <w:rPr>
          <w:rStyle w:val="dn"/>
          <w:szCs w:val="24"/>
          <w:lang w:val="fr-FR"/>
        </w:rPr>
        <w:t>é</w:t>
      </w:r>
      <w:r>
        <w:rPr>
          <w:rStyle w:val="dn"/>
          <w:szCs w:val="24"/>
        </w:rPr>
        <w:t>. Sněm má svůj volební řád, který upravuje podrobnosti volby.</w:t>
      </w:r>
      <w:r>
        <w:rPr>
          <w:rStyle w:val="dn"/>
          <w:rFonts w:eastAsia="Times New Roman" w:cs="Times New Roman"/>
          <w:szCs w:val="24"/>
          <w:vertAlign w:val="superscript"/>
        </w:rPr>
        <w:footnoteReference w:id="96"/>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Co se týče kompetencí sněmu EKČ</w:t>
      </w:r>
      <w:r>
        <w:rPr>
          <w:rStyle w:val="dn"/>
          <w:szCs w:val="24"/>
          <w:lang w:val="de-DE"/>
        </w:rPr>
        <w:t>R, m</w:t>
      </w:r>
      <w:r>
        <w:rPr>
          <w:rStyle w:val="dn"/>
          <w:szCs w:val="24"/>
        </w:rPr>
        <w:t>á nastarosti hospodaření s majetkem. Sněm tudíž schvaluje rozpočet Komory, výšku ročního člensk</w:t>
      </w:r>
      <w:r>
        <w:rPr>
          <w:rStyle w:val="dn"/>
          <w:szCs w:val="24"/>
          <w:lang w:val="fr-FR"/>
        </w:rPr>
        <w:t>é</w:t>
      </w:r>
      <w:r>
        <w:rPr>
          <w:rStyle w:val="dn"/>
          <w:szCs w:val="24"/>
        </w:rPr>
        <w:t>ho příspěvku exekutorů na činnost Komory, zřizuje fondy a schvaluje pravidla jejich tvorby a používání. Jakožto nejvyšší orgán komory se sněm můž</w:t>
      </w:r>
      <w:r>
        <w:rPr>
          <w:rStyle w:val="dn"/>
          <w:szCs w:val="24"/>
          <w:lang w:val="en-US"/>
        </w:rPr>
        <w:t>e usn</w:t>
      </w:r>
      <w:r>
        <w:rPr>
          <w:rStyle w:val="dn"/>
          <w:szCs w:val="24"/>
        </w:rPr>
        <w:t>ášet o věcech, kter</w:t>
      </w:r>
      <w:r>
        <w:rPr>
          <w:rStyle w:val="dn"/>
          <w:szCs w:val="24"/>
          <w:lang w:val="fr-FR"/>
        </w:rPr>
        <w:t xml:space="preserve">é </w:t>
      </w:r>
      <w:r>
        <w:rPr>
          <w:rStyle w:val="dn"/>
          <w:szCs w:val="24"/>
          <w:lang w:val="it-IT"/>
        </w:rPr>
        <w:t>si s</w:t>
      </w:r>
      <w:r>
        <w:rPr>
          <w:rStyle w:val="dn"/>
          <w:szCs w:val="24"/>
        </w:rPr>
        <w:t>ám vyhradí.</w:t>
      </w:r>
      <w:r>
        <w:rPr>
          <w:rStyle w:val="dn"/>
          <w:rFonts w:eastAsia="Times New Roman" w:cs="Times New Roman"/>
          <w:szCs w:val="24"/>
          <w:vertAlign w:val="superscript"/>
        </w:rPr>
        <w:footnoteReference w:id="97"/>
      </w:r>
    </w:p>
    <w:p w:rsidR="009B70FF" w:rsidRDefault="00620BFE" w:rsidP="00620BFE">
      <w:pPr>
        <w:pStyle w:val="Nadpis4"/>
        <w:ind w:firstLine="0"/>
      </w:pPr>
      <w:r>
        <w:rPr>
          <w:rStyle w:val="dn"/>
        </w:rPr>
        <w:t>4.3.2.2</w:t>
      </w:r>
      <w:r>
        <w:rPr>
          <w:rStyle w:val="dn"/>
        </w:rPr>
        <w:tab/>
      </w:r>
      <w:r w:rsidR="009B70FF" w:rsidRPr="00620BFE">
        <w:rPr>
          <w:rStyle w:val="dn"/>
        </w:rPr>
        <w:t>Prezidium</w:t>
      </w:r>
      <w:r w:rsidR="009B70FF">
        <w:rPr>
          <w:rStyle w:val="dn"/>
          <w:color w:val="000000"/>
          <w:u w:color="000000"/>
        </w:rPr>
        <w:t xml:space="preserve"> Komory</w:t>
      </w:r>
    </w:p>
    <w:p w:rsidR="009B70FF" w:rsidRDefault="009B70FF" w:rsidP="009B70FF">
      <w:pPr>
        <w:spacing w:after="220"/>
        <w:ind w:firstLine="708"/>
        <w:rPr>
          <w:rStyle w:val="dn"/>
          <w:rFonts w:eastAsia="Times New Roman" w:cs="Times New Roman"/>
          <w:szCs w:val="24"/>
        </w:rPr>
      </w:pPr>
      <w:r>
        <w:rPr>
          <w:rStyle w:val="dn"/>
          <w:szCs w:val="24"/>
        </w:rPr>
        <w:t>Vý</w:t>
      </w:r>
      <w:r>
        <w:rPr>
          <w:rStyle w:val="dn"/>
          <w:szCs w:val="24"/>
          <w:lang w:val="de-DE"/>
        </w:rPr>
        <w:t>konn</w:t>
      </w:r>
      <w:r>
        <w:rPr>
          <w:rStyle w:val="dn"/>
          <w:szCs w:val="24"/>
        </w:rPr>
        <w:t>ý</w:t>
      </w:r>
      <w:r>
        <w:rPr>
          <w:rStyle w:val="dn"/>
          <w:szCs w:val="24"/>
          <w:lang w:val="pt-PT"/>
        </w:rPr>
        <w:t xml:space="preserve">m a </w:t>
      </w:r>
      <w:r>
        <w:rPr>
          <w:rStyle w:val="dn"/>
          <w:szCs w:val="24"/>
        </w:rPr>
        <w:t>řídícím orgánem Komory je Prezidium. Rozhoduje o podstatných záležitostech, kter</w:t>
      </w:r>
      <w:r>
        <w:rPr>
          <w:rStyle w:val="dn"/>
          <w:szCs w:val="24"/>
          <w:lang w:val="fr-FR"/>
        </w:rPr>
        <w:t xml:space="preserve">é </w:t>
      </w:r>
      <w:r>
        <w:rPr>
          <w:rStyle w:val="dn"/>
          <w:szCs w:val="24"/>
          <w:lang w:val="en-US"/>
        </w:rPr>
        <w:t>se t</w:t>
      </w:r>
      <w:r>
        <w:rPr>
          <w:rStyle w:val="dn"/>
          <w:szCs w:val="24"/>
        </w:rPr>
        <w:t>ýkají Komory. Má rozsá</w:t>
      </w:r>
      <w:r>
        <w:rPr>
          <w:rStyle w:val="dn"/>
          <w:szCs w:val="24"/>
          <w:lang w:val="de-DE"/>
        </w:rPr>
        <w:t>hl</w:t>
      </w:r>
      <w:r>
        <w:rPr>
          <w:rStyle w:val="dn"/>
          <w:szCs w:val="24"/>
          <w:lang w:val="fr-FR"/>
        </w:rPr>
        <w:t xml:space="preserve">é </w:t>
      </w:r>
      <w:r>
        <w:rPr>
          <w:rStyle w:val="dn"/>
          <w:szCs w:val="24"/>
        </w:rPr>
        <w:t>a velmi významn</w:t>
      </w:r>
      <w:r>
        <w:rPr>
          <w:rStyle w:val="dn"/>
          <w:szCs w:val="24"/>
          <w:lang w:val="fr-FR"/>
        </w:rPr>
        <w:t xml:space="preserve">é </w:t>
      </w:r>
      <w:r>
        <w:rPr>
          <w:rStyle w:val="dn"/>
          <w:szCs w:val="24"/>
        </w:rPr>
        <w:t>kompetence. Tyto se projevují ve vztahu k exekutorům, exekutorským kandidátům, koncipientům nebo vykonavatelům exekutora a jiných jeho zaměstnanců. Dále tak</w:t>
      </w:r>
      <w:r>
        <w:rPr>
          <w:rStyle w:val="dn"/>
          <w:szCs w:val="24"/>
          <w:lang w:val="fr-FR"/>
        </w:rPr>
        <w:t xml:space="preserve">é </w:t>
      </w:r>
      <w:r>
        <w:rPr>
          <w:rStyle w:val="dn"/>
          <w:szCs w:val="24"/>
        </w:rPr>
        <w:t>ke Komoře jako celku, k ministerstvu spravedlnosti, k jiným státním orgánům, k orgánům Evropsk</w:t>
      </w:r>
      <w:r>
        <w:rPr>
          <w:rStyle w:val="dn"/>
          <w:szCs w:val="24"/>
          <w:lang w:val="fr-FR"/>
        </w:rPr>
        <w:t xml:space="preserve">é </w:t>
      </w:r>
      <w:r>
        <w:rPr>
          <w:rStyle w:val="dn"/>
          <w:szCs w:val="24"/>
        </w:rPr>
        <w:t>unie, atd. Jedná se například o dohledovou činnost, stanovení zástupce exekutora, určení podílu na odměně zástupce, organizace exekutorských zkoušek, výběrový</w:t>
      </w:r>
      <w:r>
        <w:rPr>
          <w:rStyle w:val="dn"/>
          <w:szCs w:val="24"/>
          <w:lang w:val="de-DE"/>
        </w:rPr>
        <w:t xml:space="preserve">ch </w:t>
      </w:r>
      <w:r>
        <w:rPr>
          <w:rStyle w:val="dn"/>
          <w:szCs w:val="24"/>
        </w:rPr>
        <w:t>řízení, vedení seznamu kandidátů. Prezidium můž</w:t>
      </w:r>
      <w:r>
        <w:rPr>
          <w:rStyle w:val="dn"/>
          <w:szCs w:val="24"/>
          <w:lang w:val="it-IT"/>
        </w:rPr>
        <w:t>e svol</w:t>
      </w:r>
      <w:r>
        <w:rPr>
          <w:rStyle w:val="dn"/>
          <w:szCs w:val="24"/>
        </w:rPr>
        <w:t>ávat sněm, spravovat majetek a řídit kanceláře komory, prosazuje zájmy exekutorů, zastupuje Komoru v mezinárodních exekutorských organizacích nebo tak</w:t>
      </w:r>
      <w:r>
        <w:rPr>
          <w:rStyle w:val="dn"/>
          <w:szCs w:val="24"/>
          <w:lang w:val="fr-FR"/>
        </w:rPr>
        <w:t xml:space="preserve">é </w:t>
      </w:r>
      <w:r>
        <w:rPr>
          <w:rStyle w:val="dn"/>
          <w:szCs w:val="24"/>
        </w:rPr>
        <w:t xml:space="preserve">zajišťuje publikační </w:t>
      </w:r>
      <w:r>
        <w:rPr>
          <w:rStyle w:val="dn"/>
          <w:szCs w:val="24"/>
          <w:lang w:val="pt-PT"/>
        </w:rPr>
        <w:t>a informa</w:t>
      </w:r>
      <w:r>
        <w:rPr>
          <w:rStyle w:val="dn"/>
          <w:szCs w:val="24"/>
        </w:rPr>
        <w:t>ční činnost a styk s m</w:t>
      </w:r>
      <w:r>
        <w:rPr>
          <w:rStyle w:val="dn"/>
          <w:szCs w:val="24"/>
          <w:lang w:val="fr-FR"/>
        </w:rPr>
        <w:t>é</w:t>
      </w:r>
      <w:r>
        <w:rPr>
          <w:rStyle w:val="dn"/>
          <w:szCs w:val="24"/>
        </w:rPr>
        <w:t>dii.</w:t>
      </w:r>
      <w:r>
        <w:rPr>
          <w:rStyle w:val="dn"/>
          <w:rFonts w:eastAsia="Times New Roman" w:cs="Times New Roman"/>
          <w:szCs w:val="24"/>
          <w:vertAlign w:val="superscript"/>
        </w:rPr>
        <w:footnoteReference w:id="98"/>
      </w:r>
      <w:r>
        <w:rPr>
          <w:rStyle w:val="dn"/>
          <w:szCs w:val="24"/>
        </w:rPr>
        <w:t xml:space="preserve"> </w:t>
      </w:r>
    </w:p>
    <w:p w:rsidR="009B70FF" w:rsidRDefault="009B70FF" w:rsidP="009B70FF">
      <w:pPr>
        <w:ind w:firstLine="708"/>
        <w:rPr>
          <w:rStyle w:val="dn"/>
          <w:szCs w:val="24"/>
        </w:rPr>
      </w:pPr>
      <w:r>
        <w:rPr>
          <w:rStyle w:val="dn"/>
          <w:szCs w:val="24"/>
        </w:rPr>
        <w:t>Členov</w:t>
      </w:r>
      <w:r>
        <w:rPr>
          <w:rStyle w:val="dn"/>
          <w:szCs w:val="24"/>
          <w:lang w:val="fr-FR"/>
        </w:rPr>
        <w:t xml:space="preserve">é </w:t>
      </w:r>
      <w:r>
        <w:rPr>
          <w:rStyle w:val="dn"/>
          <w:szCs w:val="24"/>
        </w:rPr>
        <w:t>prezidia jsou voleni na 3 roky a jedná se o 5 exekutorů. S tě</w:t>
      </w:r>
      <w:r>
        <w:rPr>
          <w:rStyle w:val="dn"/>
          <w:szCs w:val="24"/>
          <w:lang w:val="it-IT"/>
        </w:rPr>
        <w:t xml:space="preserve">mito </w:t>
      </w:r>
      <w:r>
        <w:rPr>
          <w:rStyle w:val="dn"/>
          <w:szCs w:val="24"/>
        </w:rPr>
        <w:t>členy jsou voleni i jejich náhradníci. Pokud tudíž některý z exekutorů pozbyde členství v prezidiu, z řad náhradníků je tak zvolen jeho nástupce. Členov</w:t>
      </w:r>
      <w:r>
        <w:rPr>
          <w:rStyle w:val="dn"/>
          <w:szCs w:val="24"/>
          <w:lang w:val="fr-FR"/>
        </w:rPr>
        <w:t xml:space="preserve">é </w:t>
      </w:r>
      <w:r>
        <w:rPr>
          <w:rStyle w:val="dn"/>
          <w:szCs w:val="24"/>
        </w:rPr>
        <w:t>prezidia si ze svý</w:t>
      </w:r>
      <w:r>
        <w:rPr>
          <w:rStyle w:val="dn"/>
          <w:szCs w:val="24"/>
          <w:lang w:val="de-DE"/>
        </w:rPr>
        <w:t xml:space="preserve">ch </w:t>
      </w:r>
      <w:r>
        <w:rPr>
          <w:rStyle w:val="dn"/>
          <w:szCs w:val="24"/>
        </w:rPr>
        <w:t>řad zvolí prezidenta a viceprezidenta, kteří mohou být ze sv</w:t>
      </w:r>
      <w:r>
        <w:rPr>
          <w:rStyle w:val="dn"/>
          <w:szCs w:val="24"/>
          <w:lang w:val="fr-FR"/>
        </w:rPr>
        <w:t xml:space="preserve">é </w:t>
      </w:r>
      <w:r>
        <w:rPr>
          <w:rStyle w:val="dn"/>
          <w:szCs w:val="24"/>
        </w:rPr>
        <w:t>funkce kdykoliv odvoláni. Funkční období prezidenta a viceprezidenta je vázáno na funkci člena prezidia. Členství v prezidiu je neslučiteln</w:t>
      </w:r>
      <w:r>
        <w:rPr>
          <w:rStyle w:val="dn"/>
          <w:szCs w:val="24"/>
          <w:lang w:val="fr-FR"/>
        </w:rPr>
        <w:t xml:space="preserve">é </w:t>
      </w:r>
      <w:r>
        <w:rPr>
          <w:rStyle w:val="dn"/>
          <w:szCs w:val="24"/>
        </w:rPr>
        <w:t>s členstvím v kárn</w:t>
      </w:r>
      <w:r>
        <w:rPr>
          <w:rStyle w:val="dn"/>
          <w:szCs w:val="24"/>
          <w:lang w:val="fr-FR"/>
        </w:rPr>
        <w:t xml:space="preserve">é </w:t>
      </w:r>
      <w:r>
        <w:rPr>
          <w:rStyle w:val="dn"/>
          <w:szCs w:val="24"/>
        </w:rPr>
        <w:t>kontrolní nebo revizní komisi.</w:t>
      </w:r>
      <w:r>
        <w:rPr>
          <w:rStyle w:val="dn"/>
          <w:rFonts w:eastAsia="Times New Roman" w:cs="Times New Roman"/>
          <w:szCs w:val="24"/>
          <w:vertAlign w:val="superscript"/>
        </w:rPr>
        <w:footnoteReference w:id="99"/>
      </w:r>
      <w:r>
        <w:rPr>
          <w:rStyle w:val="dn"/>
          <w:szCs w:val="24"/>
        </w:rPr>
        <w:t xml:space="preserve"> </w:t>
      </w:r>
    </w:p>
    <w:p w:rsidR="009B70FF" w:rsidRDefault="009B70FF" w:rsidP="009B70FF">
      <w:pPr>
        <w:spacing w:line="240" w:lineRule="auto"/>
        <w:rPr>
          <w:rStyle w:val="dn"/>
          <w:szCs w:val="24"/>
        </w:rPr>
      </w:pPr>
      <w:r>
        <w:rPr>
          <w:rStyle w:val="dn"/>
          <w:szCs w:val="24"/>
        </w:rPr>
        <w:br w:type="page"/>
      </w:r>
    </w:p>
    <w:p w:rsidR="009B70FF" w:rsidRPr="00655320" w:rsidRDefault="00620BFE" w:rsidP="00620BFE">
      <w:pPr>
        <w:pStyle w:val="Nadpis4"/>
        <w:ind w:firstLine="0"/>
      </w:pPr>
      <w:r>
        <w:rPr>
          <w:rStyle w:val="dn"/>
        </w:rPr>
        <w:t xml:space="preserve">4.3.2.3 </w:t>
      </w:r>
      <w:r w:rsidR="009B70FF" w:rsidRPr="00620BFE">
        <w:rPr>
          <w:rStyle w:val="dn"/>
        </w:rPr>
        <w:t>Prezident</w:t>
      </w:r>
      <w:r w:rsidR="009B70FF" w:rsidRPr="00655320">
        <w:rPr>
          <w:rStyle w:val="dn"/>
          <w:u w:color="000000"/>
        </w:rPr>
        <w:t xml:space="preserve"> Komory</w:t>
      </w:r>
    </w:p>
    <w:p w:rsidR="009B70FF" w:rsidRDefault="009B70FF" w:rsidP="009B70FF">
      <w:pPr>
        <w:spacing w:after="220"/>
        <w:ind w:firstLine="708"/>
        <w:rPr>
          <w:rStyle w:val="dn"/>
          <w:rFonts w:eastAsia="Times New Roman" w:cs="Times New Roman"/>
          <w:szCs w:val="24"/>
        </w:rPr>
      </w:pPr>
      <w:r>
        <w:rPr>
          <w:rStyle w:val="dn"/>
          <w:szCs w:val="24"/>
        </w:rPr>
        <w:t xml:space="preserve">Prezidium zasedá většinou jednou měsíčně a toto zasedání </w:t>
      </w:r>
      <w:r>
        <w:rPr>
          <w:rStyle w:val="dn"/>
          <w:szCs w:val="24"/>
          <w:lang w:val="it-IT"/>
        </w:rPr>
        <w:t>svol</w:t>
      </w:r>
      <w:r>
        <w:rPr>
          <w:rStyle w:val="dn"/>
          <w:szCs w:val="24"/>
        </w:rPr>
        <w:t>ává prezident. Prezidium může přijmout usnesení i mimo zasedání, a to na základě písemn</w:t>
      </w:r>
      <w:r>
        <w:rPr>
          <w:rStyle w:val="dn"/>
          <w:szCs w:val="24"/>
          <w:lang w:val="fr-FR"/>
        </w:rPr>
        <w:t>é</w:t>
      </w:r>
      <w:r>
        <w:rPr>
          <w:rStyle w:val="dn"/>
          <w:szCs w:val="24"/>
        </w:rPr>
        <w:t>ho návrhu prezidenta či jin</w:t>
      </w:r>
      <w:r>
        <w:rPr>
          <w:rStyle w:val="dn"/>
          <w:szCs w:val="24"/>
          <w:lang w:val="fr-FR"/>
        </w:rPr>
        <w:t>é</w:t>
      </w:r>
      <w:r>
        <w:rPr>
          <w:rStyle w:val="dn"/>
          <w:szCs w:val="24"/>
        </w:rPr>
        <w:t>ho člena prezidia. Toto neplatí v případě volby prezidenta a viceprezidenta.</w:t>
      </w:r>
      <w:r>
        <w:rPr>
          <w:rStyle w:val="dn"/>
          <w:rFonts w:eastAsia="Times New Roman" w:cs="Times New Roman"/>
          <w:szCs w:val="24"/>
          <w:vertAlign w:val="superscript"/>
        </w:rPr>
        <w:footnoteReference w:id="100"/>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Prezident Komory zastupuje Exekutorskou komoru navenek a jedná se zástupci moci soudní. Prezidentem EKČR je momentálně JUDr. Vladimí</w:t>
      </w:r>
      <w:r>
        <w:rPr>
          <w:rStyle w:val="dn"/>
          <w:szCs w:val="24"/>
          <w:lang w:val="de-DE"/>
        </w:rPr>
        <w:t>r Pl</w:t>
      </w:r>
      <w:r>
        <w:rPr>
          <w:rStyle w:val="dn"/>
          <w:szCs w:val="24"/>
        </w:rPr>
        <w:t>áš</w:t>
      </w:r>
      <w:r>
        <w:rPr>
          <w:rStyle w:val="dn"/>
          <w:szCs w:val="24"/>
          <w:lang w:val="da-DK"/>
        </w:rPr>
        <w:t>il, LL. M. a viceprezidentem je Mgr. Jan Mlynar</w:t>
      </w:r>
      <w:r>
        <w:rPr>
          <w:rStyle w:val="dn"/>
          <w:szCs w:val="24"/>
        </w:rPr>
        <w:t>čík. Prezident jedná jm</w:t>
      </w:r>
      <w:r>
        <w:rPr>
          <w:rStyle w:val="dn"/>
          <w:szCs w:val="24"/>
          <w:lang w:val="fr-FR"/>
        </w:rPr>
        <w:t>é</w:t>
      </w:r>
      <w:r>
        <w:rPr>
          <w:rStyle w:val="dn"/>
          <w:szCs w:val="24"/>
        </w:rPr>
        <w:t xml:space="preserve">nem komory jako její </w:t>
      </w:r>
      <w:r>
        <w:rPr>
          <w:rStyle w:val="dn"/>
          <w:szCs w:val="24"/>
          <w:lang w:val="it-IT"/>
        </w:rPr>
        <w:t>statut</w:t>
      </w:r>
      <w:r>
        <w:rPr>
          <w:rStyle w:val="dn"/>
          <w:szCs w:val="24"/>
        </w:rPr>
        <w:t>ární orgán. Činí právnické úkony jm</w:t>
      </w:r>
      <w:r>
        <w:rPr>
          <w:rStyle w:val="dn"/>
          <w:szCs w:val="24"/>
          <w:lang w:val="fr-FR"/>
        </w:rPr>
        <w:t>é</w:t>
      </w:r>
      <w:r>
        <w:rPr>
          <w:rStyle w:val="dn"/>
          <w:szCs w:val="24"/>
        </w:rPr>
        <w:t>nem komory, jakož</w:t>
      </w:r>
      <w:r>
        <w:rPr>
          <w:rStyle w:val="dn"/>
          <w:szCs w:val="24"/>
          <w:lang w:val="it-IT"/>
        </w:rPr>
        <w:t>to pr</w:t>
      </w:r>
      <w:r>
        <w:rPr>
          <w:rStyle w:val="dn"/>
          <w:szCs w:val="24"/>
        </w:rPr>
        <w:t>ávnick</w:t>
      </w:r>
      <w:r>
        <w:rPr>
          <w:rStyle w:val="dn"/>
          <w:szCs w:val="24"/>
          <w:lang w:val="fr-FR"/>
        </w:rPr>
        <w:t xml:space="preserve">é </w:t>
      </w:r>
      <w:r>
        <w:rPr>
          <w:rStyle w:val="dn"/>
          <w:szCs w:val="24"/>
        </w:rPr>
        <w:t>osoby zastupuje Komoru v právních vztazí</w:t>
      </w:r>
      <w:r>
        <w:rPr>
          <w:rStyle w:val="dn"/>
          <w:szCs w:val="24"/>
          <w:lang w:val="de-DE"/>
        </w:rPr>
        <w:t>ch s</w:t>
      </w:r>
      <w:r>
        <w:rPr>
          <w:rStyle w:val="dn"/>
          <w:szCs w:val="24"/>
        </w:rPr>
        <w:t> jinými právnickými či fyzickými osobami. Zastupuje Komoru i při jednání s </w:t>
      </w:r>
      <w:r>
        <w:rPr>
          <w:rStyle w:val="dn"/>
          <w:szCs w:val="24"/>
          <w:lang w:val="en-US"/>
        </w:rPr>
        <w:t>profesn</w:t>
      </w:r>
      <w:r>
        <w:rPr>
          <w:rStyle w:val="dn"/>
          <w:szCs w:val="24"/>
        </w:rPr>
        <w:t>ími a nevládními organizacemi, sdruženími a m</w:t>
      </w:r>
      <w:r>
        <w:rPr>
          <w:rStyle w:val="dn"/>
          <w:szCs w:val="24"/>
          <w:lang w:val="fr-FR"/>
        </w:rPr>
        <w:t>é</w:t>
      </w:r>
      <w:r>
        <w:rPr>
          <w:rStyle w:val="dn"/>
          <w:szCs w:val="24"/>
        </w:rPr>
        <w:t>dii. Zároveň prezident plní i roli ve vztahu s ostatní</w:t>
      </w:r>
      <w:r>
        <w:rPr>
          <w:rStyle w:val="dn"/>
          <w:szCs w:val="24"/>
          <w:lang w:val="it-IT"/>
        </w:rPr>
        <w:t>mi org</w:t>
      </w:r>
      <w:r>
        <w:rPr>
          <w:rStyle w:val="dn"/>
          <w:szCs w:val="24"/>
        </w:rPr>
        <w:t>ány Komory. Nejdůležitějšími pravomocemi prezidenta je, mimo jednání jm</w:t>
      </w:r>
      <w:r>
        <w:rPr>
          <w:rStyle w:val="dn"/>
          <w:szCs w:val="24"/>
          <w:lang w:val="fr-FR"/>
        </w:rPr>
        <w:t>é</w:t>
      </w:r>
      <w:r>
        <w:rPr>
          <w:rStyle w:val="dn"/>
          <w:szCs w:val="24"/>
        </w:rPr>
        <w:t>nem Komory, především řízení jednání sněmu, svolávání zasedání prezidia, rozhodování v působnosti prezidia, navrhování členů kárn</w:t>
      </w:r>
      <w:r>
        <w:rPr>
          <w:rStyle w:val="dn"/>
          <w:szCs w:val="24"/>
          <w:lang w:val="fr-FR"/>
        </w:rPr>
        <w:t>é</w:t>
      </w:r>
      <w:r>
        <w:rPr>
          <w:rStyle w:val="dn"/>
          <w:szCs w:val="24"/>
        </w:rPr>
        <w:t>ho soudu a další kompetence. Viceprezident pak prezidenta ve výkonu jeho funkce zastupuje.</w:t>
      </w:r>
      <w:r>
        <w:rPr>
          <w:rStyle w:val="dn"/>
          <w:rFonts w:eastAsia="Times New Roman" w:cs="Times New Roman"/>
          <w:szCs w:val="24"/>
          <w:vertAlign w:val="superscript"/>
        </w:rPr>
        <w:footnoteReference w:id="101"/>
      </w:r>
      <w:r>
        <w:rPr>
          <w:rStyle w:val="dn"/>
          <w:szCs w:val="24"/>
        </w:rPr>
        <w:t xml:space="preserve"> </w:t>
      </w:r>
    </w:p>
    <w:p w:rsidR="009B70FF" w:rsidRDefault="00620BFE" w:rsidP="00620BFE">
      <w:pPr>
        <w:pStyle w:val="Nadpis4"/>
        <w:ind w:firstLine="0"/>
      </w:pPr>
      <w:r>
        <w:rPr>
          <w:rStyle w:val="dn"/>
          <w:color w:val="000000"/>
          <w:u w:color="000000"/>
        </w:rPr>
        <w:t>4.3.2.4</w:t>
      </w:r>
      <w:r>
        <w:rPr>
          <w:rStyle w:val="dn"/>
          <w:color w:val="000000"/>
          <w:u w:color="000000"/>
        </w:rPr>
        <w:tab/>
      </w:r>
      <w:r w:rsidR="009B70FF">
        <w:rPr>
          <w:rStyle w:val="dn"/>
          <w:color w:val="000000"/>
          <w:u w:color="000000"/>
        </w:rPr>
        <w:t xml:space="preserve">Revizní komise </w:t>
      </w:r>
    </w:p>
    <w:p w:rsidR="009B70FF" w:rsidRDefault="009B70FF" w:rsidP="009B70FF">
      <w:pPr>
        <w:spacing w:after="220"/>
        <w:ind w:firstLine="708"/>
        <w:rPr>
          <w:rStyle w:val="dn"/>
          <w:rFonts w:eastAsia="Times New Roman" w:cs="Times New Roman"/>
          <w:szCs w:val="24"/>
        </w:rPr>
      </w:pPr>
      <w:r>
        <w:rPr>
          <w:rStyle w:val="dn"/>
          <w:szCs w:val="24"/>
        </w:rPr>
        <w:t>Dalším řádným orgá</w:t>
      </w:r>
      <w:r>
        <w:rPr>
          <w:rStyle w:val="dn"/>
          <w:szCs w:val="24"/>
          <w:lang w:val="de-DE"/>
        </w:rPr>
        <w:t>nem EK</w:t>
      </w:r>
      <w:r>
        <w:rPr>
          <w:rStyle w:val="dn"/>
          <w:szCs w:val="24"/>
        </w:rPr>
        <w:t>ČR je revizní komise. Zřízena byla k zajišťování kontroly nad hospodařením Komory. Jako ostatní členov</w:t>
      </w:r>
      <w:r>
        <w:rPr>
          <w:rStyle w:val="dn"/>
          <w:szCs w:val="24"/>
          <w:lang w:val="fr-FR"/>
        </w:rPr>
        <w:t xml:space="preserve">é </w:t>
      </w:r>
      <w:r>
        <w:rPr>
          <w:rStyle w:val="dn"/>
          <w:szCs w:val="24"/>
        </w:rPr>
        <w:t>orgánů, jsou i členov</w:t>
      </w:r>
      <w:r>
        <w:rPr>
          <w:rStyle w:val="dn"/>
          <w:szCs w:val="24"/>
          <w:lang w:val="fr-FR"/>
        </w:rPr>
        <w:t xml:space="preserve">é </w:t>
      </w:r>
      <w:r>
        <w:rPr>
          <w:rStyle w:val="dn"/>
          <w:szCs w:val="24"/>
        </w:rPr>
        <w:t>revizní komise voleni na 3 roky. Volí si ze svý</w:t>
      </w:r>
      <w:r>
        <w:rPr>
          <w:rStyle w:val="dn"/>
          <w:szCs w:val="24"/>
          <w:lang w:val="de-DE"/>
        </w:rPr>
        <w:t xml:space="preserve">ch </w:t>
      </w:r>
      <w:r>
        <w:rPr>
          <w:rStyle w:val="dn"/>
          <w:szCs w:val="24"/>
        </w:rPr>
        <w:t>řad předsedu a místopředsedu komise. Předseda komise disponuje ve vztahu ke kompetencím revizní komise ká</w:t>
      </w:r>
      <w:r>
        <w:rPr>
          <w:rStyle w:val="dn"/>
          <w:szCs w:val="24"/>
          <w:lang w:val="pt-PT"/>
        </w:rPr>
        <w:t>rnou iniciativou. D</w:t>
      </w:r>
      <w:r>
        <w:rPr>
          <w:rStyle w:val="dn"/>
          <w:szCs w:val="24"/>
        </w:rPr>
        <w:t>ále je oprávněn podat návrh na zahájení kárn</w:t>
      </w:r>
      <w:r>
        <w:rPr>
          <w:rStyle w:val="dn"/>
          <w:szCs w:val="24"/>
          <w:lang w:val="fr-FR"/>
        </w:rPr>
        <w:t>é</w:t>
      </w:r>
      <w:r>
        <w:rPr>
          <w:rStyle w:val="dn"/>
          <w:szCs w:val="24"/>
        </w:rPr>
        <w:t>ho řízení proti osobě, jež porušila předpis ve spojení s hospodařením Komory. Předsedu komise může jako kárn</w:t>
      </w:r>
      <w:r>
        <w:rPr>
          <w:rStyle w:val="dn"/>
          <w:szCs w:val="24"/>
          <w:lang w:val="fr-FR"/>
        </w:rPr>
        <w:t>é</w:t>
      </w:r>
      <w:r>
        <w:rPr>
          <w:rStyle w:val="dn"/>
          <w:szCs w:val="24"/>
        </w:rPr>
        <w:t>ho žalobce v kárn</w:t>
      </w:r>
      <w:r>
        <w:rPr>
          <w:rStyle w:val="dn"/>
          <w:szCs w:val="24"/>
          <w:lang w:val="fr-FR"/>
        </w:rPr>
        <w:t>é</w:t>
      </w:r>
      <w:r>
        <w:rPr>
          <w:rStyle w:val="dn"/>
          <w:szCs w:val="24"/>
        </w:rPr>
        <w:t xml:space="preserve">m řízení zastoupit jakýkoliv člen revizní komise. Předseda tohoto člena pouze písemně zmocní. V případě, že předseda nemůže svou funkci vykonávat, byť </w:t>
      </w:r>
      <w:r>
        <w:rPr>
          <w:rStyle w:val="dn"/>
          <w:szCs w:val="24"/>
          <w:lang w:val="nl-NL"/>
        </w:rPr>
        <w:t>jen do</w:t>
      </w:r>
      <w:r>
        <w:rPr>
          <w:rStyle w:val="dn"/>
          <w:szCs w:val="24"/>
        </w:rPr>
        <w:t>časně, zastoupí jej místopředseda. I u revizní komise platí neslučitelnost funkcí s funkcí člena prezidia, náhradníka člena prezidia nebo s členstvím v kárné či kontrolní komisi. Díky neslučitelnosti je zaručena nezávislost členů kontrolních orgánů.</w:t>
      </w:r>
      <w:r>
        <w:rPr>
          <w:rStyle w:val="dn"/>
          <w:rFonts w:eastAsia="Times New Roman" w:cs="Times New Roman"/>
          <w:szCs w:val="24"/>
          <w:vertAlign w:val="superscript"/>
        </w:rPr>
        <w:footnoteReference w:id="102"/>
      </w:r>
    </w:p>
    <w:p w:rsidR="009B70FF" w:rsidRDefault="009B70FF" w:rsidP="009B70FF">
      <w:pPr>
        <w:ind w:firstLine="708"/>
        <w:rPr>
          <w:rStyle w:val="dn"/>
          <w:rFonts w:eastAsia="Times New Roman" w:cs="Times New Roman"/>
          <w:szCs w:val="24"/>
        </w:rPr>
      </w:pPr>
      <w:r>
        <w:rPr>
          <w:rStyle w:val="dn"/>
          <w:szCs w:val="24"/>
        </w:rPr>
        <w:t>Revizní komise tedy dohlíží nad hospodařením Komory. Tato kontrola probíhá v souladu s rozpočtem a dalšími pravidly, kter</w:t>
      </w:r>
      <w:r>
        <w:rPr>
          <w:rStyle w:val="dn"/>
          <w:szCs w:val="24"/>
          <w:lang w:val="fr-FR"/>
        </w:rPr>
        <w:t xml:space="preserve">é </w:t>
      </w:r>
      <w:r>
        <w:rPr>
          <w:rStyle w:val="dn"/>
          <w:szCs w:val="24"/>
        </w:rPr>
        <w:t>schválil sně</w:t>
      </w:r>
      <w:r>
        <w:rPr>
          <w:rStyle w:val="dn"/>
          <w:szCs w:val="24"/>
          <w:lang w:val="pt-PT"/>
        </w:rPr>
        <w:t>m. O v</w:t>
      </w:r>
      <w:r>
        <w:rPr>
          <w:rStyle w:val="dn"/>
          <w:szCs w:val="24"/>
        </w:rPr>
        <w:t>ýsledku hospodaření Komory podává revizní komise zprávu sněmu a zároveň se vyjadřuje k návrhu rozpočtu. Revizní komise tak</w:t>
      </w:r>
      <w:r>
        <w:rPr>
          <w:rStyle w:val="dn"/>
          <w:szCs w:val="24"/>
          <w:lang w:val="fr-FR"/>
        </w:rPr>
        <w:t xml:space="preserve">é </w:t>
      </w:r>
      <w:r>
        <w:rPr>
          <w:rStyle w:val="dn"/>
          <w:szCs w:val="24"/>
        </w:rPr>
        <w:t xml:space="preserve">schvaluje roční závěrečný účet Komory. </w:t>
      </w:r>
      <w:r>
        <w:rPr>
          <w:rStyle w:val="dn"/>
          <w:rFonts w:eastAsia="Times New Roman" w:cs="Times New Roman"/>
          <w:szCs w:val="24"/>
          <w:vertAlign w:val="superscript"/>
        </w:rPr>
        <w:footnoteReference w:id="103"/>
      </w:r>
    </w:p>
    <w:p w:rsidR="009B70FF" w:rsidRDefault="00620BFE" w:rsidP="00620BFE">
      <w:pPr>
        <w:pStyle w:val="Nadpis4"/>
        <w:ind w:firstLine="0"/>
      </w:pPr>
      <w:r>
        <w:rPr>
          <w:rStyle w:val="dn"/>
          <w:color w:val="000000"/>
          <w:u w:color="000000"/>
        </w:rPr>
        <w:t>4.3.2.5</w:t>
      </w:r>
      <w:r>
        <w:rPr>
          <w:rStyle w:val="dn"/>
          <w:color w:val="000000"/>
          <w:u w:color="000000"/>
        </w:rPr>
        <w:tab/>
      </w:r>
      <w:r w:rsidR="009B70FF">
        <w:rPr>
          <w:rStyle w:val="dn"/>
          <w:color w:val="000000"/>
          <w:u w:color="000000"/>
        </w:rPr>
        <w:t xml:space="preserve">Kontrolní komise </w:t>
      </w:r>
    </w:p>
    <w:p w:rsidR="009B70FF" w:rsidRDefault="009B70FF" w:rsidP="009B70FF">
      <w:pPr>
        <w:spacing w:after="220"/>
        <w:ind w:firstLine="708"/>
        <w:rPr>
          <w:rStyle w:val="dn"/>
          <w:rFonts w:eastAsia="Times New Roman" w:cs="Times New Roman"/>
          <w:szCs w:val="24"/>
        </w:rPr>
      </w:pPr>
      <w:r>
        <w:rPr>
          <w:rStyle w:val="dn"/>
          <w:szCs w:val="24"/>
        </w:rPr>
        <w:t>Další komisí je komise kontrolní, navazuje na revizní komisi a její činnost, která byla ustavená stavovský</w:t>
      </w:r>
      <w:r>
        <w:rPr>
          <w:rStyle w:val="dn"/>
          <w:szCs w:val="24"/>
          <w:lang w:val="pt-PT"/>
        </w:rPr>
        <w:t>m p</w:t>
      </w:r>
      <w:r>
        <w:rPr>
          <w:rStyle w:val="dn"/>
          <w:szCs w:val="24"/>
        </w:rPr>
        <w:t>ředpisem Komory jako poradní orgán prezidia. Úkolem kontrolní komise je zajišťovat dohled nad činností exekutorů a zajišťovat podklady pro vyřizování stížností proti postupu exekutorů. Členov</w:t>
      </w:r>
      <w:r>
        <w:rPr>
          <w:rStyle w:val="dn"/>
          <w:szCs w:val="24"/>
          <w:lang w:val="fr-FR"/>
        </w:rPr>
        <w:t xml:space="preserve">é </w:t>
      </w:r>
      <w:r>
        <w:rPr>
          <w:rStyle w:val="dn"/>
          <w:szCs w:val="24"/>
        </w:rPr>
        <w:t>jsou stejně jako u revizní komise voleni z řad exekutorů a jejich funkční období jsou 3 roky. Zvoleno je 9 řádný</w:t>
      </w:r>
      <w:r>
        <w:rPr>
          <w:rStyle w:val="dn"/>
          <w:szCs w:val="24"/>
          <w:lang w:val="de-DE"/>
        </w:rPr>
        <w:t xml:space="preserve">ch </w:t>
      </w:r>
      <w:r>
        <w:rPr>
          <w:rStyle w:val="dn"/>
          <w:szCs w:val="24"/>
        </w:rPr>
        <w:t>členů a 5 náhradníků, a to pro pří</w:t>
      </w:r>
      <w:r>
        <w:rPr>
          <w:rStyle w:val="dn"/>
          <w:szCs w:val="24"/>
          <w:lang w:val="es-ES_tradnl"/>
        </w:rPr>
        <w:t xml:space="preserve">pad, </w:t>
      </w:r>
      <w:r>
        <w:rPr>
          <w:rStyle w:val="dn"/>
          <w:szCs w:val="24"/>
        </w:rPr>
        <w:t>že by některý z řádný</w:t>
      </w:r>
      <w:r>
        <w:rPr>
          <w:rStyle w:val="dn"/>
          <w:szCs w:val="24"/>
          <w:lang w:val="de-DE"/>
        </w:rPr>
        <w:t xml:space="preserve">ch </w:t>
      </w:r>
      <w:r>
        <w:rPr>
          <w:rStyle w:val="dn"/>
          <w:szCs w:val="24"/>
        </w:rPr>
        <w:t>členů ukončil svou činnost v komisi v průběhu období, na kter</w:t>
      </w:r>
      <w:r>
        <w:rPr>
          <w:rStyle w:val="dn"/>
          <w:szCs w:val="24"/>
          <w:lang w:val="fr-FR"/>
        </w:rPr>
        <w:t xml:space="preserve">é </w:t>
      </w:r>
      <w:r>
        <w:rPr>
          <w:rStyle w:val="dn"/>
          <w:szCs w:val="24"/>
        </w:rPr>
        <w:t>byl zvolený. Funkce člena kontrolní komise zaniká jeho rezignací. Kontrolní komise si tak</w:t>
      </w:r>
      <w:r>
        <w:rPr>
          <w:rStyle w:val="dn"/>
          <w:szCs w:val="24"/>
          <w:lang w:val="fr-FR"/>
        </w:rPr>
        <w:t xml:space="preserve">é </w:t>
      </w:r>
      <w:r>
        <w:rPr>
          <w:rStyle w:val="dn"/>
          <w:szCs w:val="24"/>
        </w:rPr>
        <w:t>volí předsedu a místopředsedu, kteří mohou bý</w:t>
      </w:r>
      <w:r>
        <w:rPr>
          <w:rStyle w:val="dn"/>
          <w:szCs w:val="24"/>
          <w:lang w:val="nl-NL"/>
        </w:rPr>
        <w:t>t z</w:t>
      </w:r>
      <w:r>
        <w:rPr>
          <w:rStyle w:val="dn"/>
          <w:szCs w:val="24"/>
        </w:rPr>
        <w:t> funkcí kdykoliv odvolá</w:t>
      </w:r>
      <w:r>
        <w:rPr>
          <w:rStyle w:val="dn"/>
          <w:szCs w:val="24"/>
          <w:lang w:val="it-IT"/>
        </w:rPr>
        <w:t>ni.</w:t>
      </w:r>
      <w:r>
        <w:rPr>
          <w:rStyle w:val="dn"/>
          <w:rFonts w:eastAsia="Times New Roman" w:cs="Times New Roman"/>
          <w:szCs w:val="24"/>
          <w:vertAlign w:val="superscript"/>
        </w:rPr>
        <w:footnoteReference w:id="104"/>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Mezi hlavní úkoly kontrolní komise patří zajišťování podkladů pro vyřizování stížností na postup soudních exekutorů a provádění kontroly. Komise provádí šetření, kontrolní úkony a opatření v </w:t>
      </w:r>
      <w:r>
        <w:rPr>
          <w:rStyle w:val="dn"/>
          <w:szCs w:val="24"/>
          <w:lang w:val="it-IT"/>
        </w:rPr>
        <w:t>dot</w:t>
      </w:r>
      <w:r>
        <w:rPr>
          <w:rStyle w:val="dn"/>
          <w:szCs w:val="24"/>
        </w:rPr>
        <w:t>čených exekutorský</w:t>
      </w:r>
      <w:r>
        <w:rPr>
          <w:rStyle w:val="dn"/>
          <w:szCs w:val="24"/>
          <w:lang w:val="de-DE"/>
        </w:rPr>
        <w:t xml:space="preserve">ch </w:t>
      </w:r>
      <w:r>
        <w:rPr>
          <w:rStyle w:val="dn"/>
          <w:szCs w:val="24"/>
        </w:rPr>
        <w:t>úřadech. Kontrolní činnost komise je preventivní a výchovná. Svou činností komise odpovídá Sněmu a předává mu pravidelně informace o stavu sv</w:t>
      </w:r>
      <w:r>
        <w:rPr>
          <w:rStyle w:val="dn"/>
          <w:szCs w:val="24"/>
          <w:lang w:val="fr-FR"/>
        </w:rPr>
        <w:t xml:space="preserve">é </w:t>
      </w:r>
      <w:r>
        <w:rPr>
          <w:rStyle w:val="dn"/>
          <w:szCs w:val="24"/>
        </w:rPr>
        <w:t>agendy. Předseda komise rovněž předkládá sněmu zprávu o činnosti kontrolní komise.</w:t>
      </w:r>
      <w:r>
        <w:rPr>
          <w:rStyle w:val="dn"/>
          <w:rFonts w:eastAsia="Times New Roman" w:cs="Times New Roman"/>
          <w:szCs w:val="24"/>
          <w:vertAlign w:val="superscript"/>
        </w:rPr>
        <w:footnoteReference w:id="105"/>
      </w:r>
      <w:r>
        <w:rPr>
          <w:rStyle w:val="dn"/>
          <w:szCs w:val="24"/>
        </w:rPr>
        <w:t xml:space="preserve"> </w:t>
      </w:r>
    </w:p>
    <w:p w:rsidR="009B70FF" w:rsidRDefault="00620BFE" w:rsidP="00620BFE">
      <w:pPr>
        <w:pStyle w:val="Nadpis4"/>
        <w:ind w:firstLine="0"/>
      </w:pPr>
      <w:r>
        <w:rPr>
          <w:rStyle w:val="dn"/>
          <w:color w:val="000000"/>
          <w:u w:color="000000"/>
        </w:rPr>
        <w:t>4.3.2.6</w:t>
      </w:r>
      <w:r>
        <w:rPr>
          <w:rStyle w:val="dn"/>
          <w:color w:val="000000"/>
          <w:u w:color="000000"/>
        </w:rPr>
        <w:tab/>
      </w:r>
      <w:r w:rsidR="009B70FF">
        <w:rPr>
          <w:rStyle w:val="dn"/>
          <w:color w:val="000000"/>
          <w:u w:color="000000"/>
        </w:rPr>
        <w:t xml:space="preserve">Kárná </w:t>
      </w:r>
      <w:r w:rsidR="009B70FF" w:rsidRPr="00620BFE">
        <w:rPr>
          <w:rStyle w:val="dn"/>
        </w:rPr>
        <w:t>komise</w:t>
      </w:r>
    </w:p>
    <w:p w:rsidR="009B70FF" w:rsidRDefault="009B70FF" w:rsidP="009B70FF">
      <w:pPr>
        <w:spacing w:after="220"/>
        <w:ind w:firstLine="708"/>
        <w:rPr>
          <w:rStyle w:val="dn"/>
          <w:rFonts w:eastAsia="Times New Roman" w:cs="Times New Roman"/>
          <w:szCs w:val="24"/>
        </w:rPr>
      </w:pPr>
      <w:r>
        <w:rPr>
          <w:rStyle w:val="dn"/>
          <w:szCs w:val="24"/>
        </w:rPr>
        <w:t>Účelem zřízení kárn</w:t>
      </w:r>
      <w:r>
        <w:rPr>
          <w:rStyle w:val="dn"/>
          <w:szCs w:val="24"/>
          <w:lang w:val="fr-FR"/>
        </w:rPr>
        <w:t xml:space="preserve">é </w:t>
      </w:r>
      <w:r>
        <w:rPr>
          <w:rStyle w:val="dn"/>
          <w:szCs w:val="24"/>
        </w:rPr>
        <w:t>komise je zabezpečení činnosti svý</w:t>
      </w:r>
      <w:r>
        <w:rPr>
          <w:rStyle w:val="dn"/>
          <w:szCs w:val="24"/>
          <w:lang w:val="de-DE"/>
        </w:rPr>
        <w:t xml:space="preserve">ch </w:t>
      </w:r>
      <w:r>
        <w:rPr>
          <w:rStyle w:val="dn"/>
          <w:szCs w:val="24"/>
        </w:rPr>
        <w:t>členů v kárný</w:t>
      </w:r>
      <w:r>
        <w:rPr>
          <w:rStyle w:val="dn"/>
          <w:szCs w:val="24"/>
          <w:lang w:val="de-DE"/>
        </w:rPr>
        <w:t>ch sen</w:t>
      </w:r>
      <w:r>
        <w:rPr>
          <w:rStyle w:val="dn"/>
          <w:szCs w:val="24"/>
        </w:rPr>
        <w:t>átech, při rozhodování o kárný</w:t>
      </w:r>
      <w:r>
        <w:rPr>
          <w:rStyle w:val="dn"/>
          <w:szCs w:val="24"/>
          <w:lang w:val="de-DE"/>
        </w:rPr>
        <w:t xml:space="preserve">ch </w:t>
      </w:r>
      <w:r>
        <w:rPr>
          <w:rStyle w:val="dn"/>
          <w:szCs w:val="24"/>
        </w:rPr>
        <w:t>žalobách v kárn</w:t>
      </w:r>
      <w:r>
        <w:rPr>
          <w:rStyle w:val="dn"/>
          <w:szCs w:val="24"/>
          <w:lang w:val="fr-FR"/>
        </w:rPr>
        <w:t>é</w:t>
      </w:r>
      <w:r>
        <w:rPr>
          <w:rStyle w:val="dn"/>
          <w:szCs w:val="24"/>
        </w:rPr>
        <w:t>m řízení proti kandidátům a koncipientům. Kárná komise má 9 členů</w:t>
      </w:r>
      <w:r>
        <w:rPr>
          <w:rStyle w:val="dn"/>
          <w:szCs w:val="24"/>
          <w:lang w:val="nl-NL"/>
        </w:rPr>
        <w:t>, z</w:t>
      </w:r>
      <w:r>
        <w:rPr>
          <w:rStyle w:val="dn"/>
          <w:szCs w:val="24"/>
        </w:rPr>
        <w:t> </w:t>
      </w:r>
      <w:r>
        <w:rPr>
          <w:rStyle w:val="dn"/>
          <w:szCs w:val="24"/>
          <w:lang w:val="de-DE"/>
        </w:rPr>
        <w:t>nich</w:t>
      </w:r>
      <w:r>
        <w:rPr>
          <w:rStyle w:val="dn"/>
          <w:szCs w:val="24"/>
        </w:rPr>
        <w:t>ž 3 členov</w:t>
      </w:r>
      <w:r>
        <w:rPr>
          <w:rStyle w:val="dn"/>
          <w:szCs w:val="24"/>
          <w:lang w:val="fr-FR"/>
        </w:rPr>
        <w:t xml:space="preserve">é </w:t>
      </w:r>
      <w:r>
        <w:rPr>
          <w:rStyle w:val="dn"/>
          <w:szCs w:val="24"/>
        </w:rPr>
        <w:t>jsou voleni z řad exekutorů sněmem, a to na dobu 3 let a zbylý</w:t>
      </w:r>
      <w:r>
        <w:rPr>
          <w:rStyle w:val="dn"/>
          <w:szCs w:val="24"/>
          <w:lang w:val="de-DE"/>
        </w:rPr>
        <w:t xml:space="preserve">ch 6 </w:t>
      </w:r>
      <w:r>
        <w:rPr>
          <w:rStyle w:val="dn"/>
          <w:szCs w:val="24"/>
        </w:rPr>
        <w:t>členů je z řad soudců a jsou jmenováni ministrem spravedlnosti na dobu neurčitou. U členů z řad soudců zaniká funkce rezignací, jež je adresována mistrovi spravedlnosti. Co se týče členů z řad exekutorů, je rezignace adresována sněmu, nebo v případě nezasedání sněmu prezidiu. Funkce může zaniknout též ke dni právní moci kárn</w:t>
      </w:r>
      <w:r>
        <w:rPr>
          <w:rStyle w:val="dn"/>
          <w:szCs w:val="24"/>
          <w:lang w:val="fr-FR"/>
        </w:rPr>
        <w:t>é</w:t>
      </w:r>
      <w:r>
        <w:rPr>
          <w:rStyle w:val="dn"/>
          <w:szCs w:val="24"/>
        </w:rPr>
        <w:t>ho opatření, jež bylo členu uloženo. Od kárn</w:t>
      </w:r>
      <w:r>
        <w:rPr>
          <w:rStyle w:val="dn"/>
          <w:szCs w:val="24"/>
          <w:lang w:val="fr-FR"/>
        </w:rPr>
        <w:t xml:space="preserve">é </w:t>
      </w:r>
      <w:r>
        <w:rPr>
          <w:rStyle w:val="dn"/>
          <w:szCs w:val="24"/>
        </w:rPr>
        <w:t xml:space="preserve">komise se odlišujeme kárný senát, který </w:t>
      </w:r>
      <w:r>
        <w:rPr>
          <w:rStyle w:val="dn"/>
          <w:szCs w:val="24"/>
          <w:lang w:val="it-IT"/>
        </w:rPr>
        <w:t>se sest</w:t>
      </w:r>
      <w:r>
        <w:rPr>
          <w:rStyle w:val="dn"/>
          <w:szCs w:val="24"/>
        </w:rPr>
        <w:t>ává ze 3 členů, jež jmenuje předseda komise. Zánik funkce člena kárn</w:t>
      </w:r>
      <w:r>
        <w:rPr>
          <w:rStyle w:val="dn"/>
          <w:szCs w:val="24"/>
          <w:lang w:val="fr-FR"/>
        </w:rPr>
        <w:t>é</w:t>
      </w:r>
      <w:r>
        <w:rPr>
          <w:rStyle w:val="dn"/>
          <w:szCs w:val="24"/>
        </w:rPr>
        <w:t>ho senátu nastává dnem zániku soudce, či zproštění výkonu funkce soudce, dnem zániku výkonu exekutorsk</w:t>
      </w:r>
      <w:r>
        <w:rPr>
          <w:rStyle w:val="dn"/>
          <w:szCs w:val="24"/>
          <w:lang w:val="fr-FR"/>
        </w:rPr>
        <w:t>é</w:t>
      </w:r>
      <w:r>
        <w:rPr>
          <w:rStyle w:val="dn"/>
          <w:szCs w:val="24"/>
        </w:rPr>
        <w:t>ho úřadu, dnem odvolání z funkce člena kárn</w:t>
      </w:r>
      <w:r>
        <w:rPr>
          <w:rStyle w:val="dn"/>
          <w:szCs w:val="24"/>
          <w:lang w:val="fr-FR"/>
        </w:rPr>
        <w:t>é</w:t>
      </w:r>
      <w:r>
        <w:rPr>
          <w:rStyle w:val="dn"/>
          <w:szCs w:val="24"/>
        </w:rPr>
        <w:t>ho senátu na základě vlastní žádosti, atd. I zde u členů kárn</w:t>
      </w:r>
      <w:r>
        <w:rPr>
          <w:rStyle w:val="dn"/>
          <w:szCs w:val="24"/>
          <w:lang w:val="fr-FR"/>
        </w:rPr>
        <w:t xml:space="preserve">é </w:t>
      </w:r>
      <w:r>
        <w:rPr>
          <w:rStyle w:val="dn"/>
          <w:szCs w:val="24"/>
        </w:rPr>
        <w:t>komise platí neslučitelnost funkcí.</w:t>
      </w:r>
      <w:r>
        <w:rPr>
          <w:rStyle w:val="dn"/>
          <w:rFonts w:eastAsia="Times New Roman" w:cs="Times New Roman"/>
          <w:szCs w:val="24"/>
          <w:vertAlign w:val="superscript"/>
        </w:rPr>
        <w:footnoteReference w:id="106"/>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Ze sv</w:t>
      </w:r>
      <w:r>
        <w:rPr>
          <w:rStyle w:val="dn"/>
          <w:szCs w:val="24"/>
          <w:lang w:val="fr-FR"/>
        </w:rPr>
        <w:t>é</w:t>
      </w:r>
      <w:r>
        <w:rPr>
          <w:rStyle w:val="dn"/>
          <w:szCs w:val="24"/>
        </w:rPr>
        <w:t>ho středu si členov</w:t>
      </w:r>
      <w:r>
        <w:rPr>
          <w:rStyle w:val="dn"/>
          <w:szCs w:val="24"/>
          <w:lang w:val="fr-FR"/>
        </w:rPr>
        <w:t xml:space="preserve">é </w:t>
      </w:r>
      <w:r>
        <w:rPr>
          <w:rStyle w:val="dn"/>
          <w:szCs w:val="24"/>
        </w:rPr>
        <w:t>komise zvolí předsedu, který je volen pouze ze soudců a místopředsedu. Kárná komise je předsedou svolávána jednou ročně k </w:t>
      </w:r>
      <w:r>
        <w:rPr>
          <w:rStyle w:val="dn"/>
          <w:szCs w:val="24"/>
          <w:lang w:val="es-ES_tradnl"/>
        </w:rPr>
        <w:t>plen</w:t>
      </w:r>
      <w:r>
        <w:rPr>
          <w:rStyle w:val="dn"/>
          <w:szCs w:val="24"/>
        </w:rPr>
        <w:t>árnímu zasedání. Předseda má mnoho pravomocí</w:t>
      </w:r>
      <w:r>
        <w:rPr>
          <w:rStyle w:val="dn"/>
          <w:szCs w:val="24"/>
          <w:lang w:val="it-IT"/>
        </w:rPr>
        <w:t>, nap</w:t>
      </w:r>
      <w:r>
        <w:rPr>
          <w:rStyle w:val="dn"/>
          <w:szCs w:val="24"/>
        </w:rPr>
        <w:t>říklad jmenuje předsedy a další členy kárný</w:t>
      </w:r>
      <w:r>
        <w:rPr>
          <w:rStyle w:val="dn"/>
          <w:szCs w:val="24"/>
          <w:lang w:val="de-DE"/>
        </w:rPr>
        <w:t>ch sen</w:t>
      </w:r>
      <w:r>
        <w:rPr>
          <w:rStyle w:val="dn"/>
          <w:szCs w:val="24"/>
        </w:rPr>
        <w:t>átů. Určuje tak</w:t>
      </w:r>
      <w:r>
        <w:rPr>
          <w:rStyle w:val="dn"/>
          <w:szCs w:val="24"/>
          <w:lang w:val="fr-FR"/>
        </w:rPr>
        <w:t xml:space="preserve">é </w:t>
      </w:r>
      <w:r>
        <w:rPr>
          <w:rStyle w:val="dn"/>
          <w:szCs w:val="24"/>
        </w:rPr>
        <w:t>rozdělení agendy mezi jednotliv</w:t>
      </w:r>
      <w:r>
        <w:rPr>
          <w:rStyle w:val="dn"/>
          <w:szCs w:val="24"/>
          <w:lang w:val="fr-FR"/>
        </w:rPr>
        <w:t xml:space="preserve">é </w:t>
      </w:r>
      <w:r>
        <w:rPr>
          <w:rStyle w:val="dn"/>
          <w:szCs w:val="24"/>
        </w:rPr>
        <w:t>kárn</w:t>
      </w:r>
      <w:r>
        <w:rPr>
          <w:rStyle w:val="dn"/>
          <w:szCs w:val="24"/>
          <w:lang w:val="fr-FR"/>
        </w:rPr>
        <w:t xml:space="preserve">é </w:t>
      </w:r>
      <w:r>
        <w:rPr>
          <w:rStyle w:val="dn"/>
          <w:szCs w:val="24"/>
        </w:rPr>
        <w:t>senáty. Předseda zakládá kárný list pot</w:t>
      </w:r>
      <w:r>
        <w:rPr>
          <w:rStyle w:val="dn"/>
          <w:szCs w:val="24"/>
          <w:lang w:val="fr-FR"/>
        </w:rPr>
        <w:t>é</w:t>
      </w:r>
      <w:r>
        <w:rPr>
          <w:rStyle w:val="dn"/>
          <w:szCs w:val="24"/>
        </w:rPr>
        <w:t>, co mu došla kárná žaloba. Tuto žalobu doručí do vlastních rukou obviněn</w:t>
      </w:r>
      <w:r>
        <w:rPr>
          <w:rStyle w:val="dn"/>
          <w:szCs w:val="24"/>
          <w:lang w:val="fr-FR"/>
        </w:rPr>
        <w:t>é</w:t>
      </w:r>
      <w:r>
        <w:rPr>
          <w:rStyle w:val="dn"/>
          <w:szCs w:val="24"/>
        </w:rPr>
        <w:t xml:space="preserve">mu a poučí jej o jeho právu zvolit si obhájce, a to z řad advokátů, ale i exekutorů. Obviněný se má vyjádřit ke skutečnostem a má navrhnout důkazy podporující jeho obhajobu. Obviněný má </w:t>
      </w:r>
      <w:r>
        <w:rPr>
          <w:rStyle w:val="dn"/>
          <w:szCs w:val="24"/>
          <w:lang w:val="pt-PT"/>
        </w:rPr>
        <w:t>lh</w:t>
      </w:r>
      <w:r>
        <w:rPr>
          <w:rStyle w:val="dn"/>
          <w:szCs w:val="24"/>
        </w:rPr>
        <w:t xml:space="preserve">ůtu, jež </w:t>
      </w:r>
      <w:r>
        <w:rPr>
          <w:rStyle w:val="dn"/>
          <w:szCs w:val="24"/>
          <w:lang w:val="de-DE"/>
        </w:rPr>
        <w:t>nen</w:t>
      </w:r>
      <w:r>
        <w:rPr>
          <w:rStyle w:val="dn"/>
          <w:szCs w:val="24"/>
        </w:rPr>
        <w:t xml:space="preserve">í </w:t>
      </w:r>
      <w:r>
        <w:rPr>
          <w:rStyle w:val="dn"/>
          <w:szCs w:val="24"/>
          <w:lang w:val="it-IT"/>
        </w:rPr>
        <w:t>del</w:t>
      </w:r>
      <w:r>
        <w:rPr>
          <w:rStyle w:val="dn"/>
          <w:szCs w:val="24"/>
        </w:rPr>
        <w:t>ší než 4 týdny a kratší než týden, na písemn</w:t>
      </w:r>
      <w:r>
        <w:rPr>
          <w:rStyle w:val="dn"/>
          <w:szCs w:val="24"/>
          <w:lang w:val="fr-FR"/>
        </w:rPr>
        <w:t xml:space="preserve">é </w:t>
      </w:r>
      <w:r>
        <w:rPr>
          <w:rStyle w:val="dn"/>
          <w:szCs w:val="24"/>
        </w:rPr>
        <w:t xml:space="preserve">vyjádření. Po tomto vyjádření či po uplynutí </w:t>
      </w:r>
      <w:r>
        <w:rPr>
          <w:rStyle w:val="dn"/>
          <w:szCs w:val="24"/>
          <w:lang w:val="sv-SE"/>
        </w:rPr>
        <w:t>marn</w:t>
      </w:r>
      <w:r>
        <w:rPr>
          <w:rStyle w:val="dn"/>
          <w:szCs w:val="24"/>
          <w:lang w:val="fr-FR"/>
        </w:rPr>
        <w:t xml:space="preserve">é </w:t>
      </w:r>
      <w:r>
        <w:rPr>
          <w:rStyle w:val="dn"/>
          <w:szCs w:val="24"/>
          <w:lang w:val="pt-PT"/>
        </w:rPr>
        <w:t>lh</w:t>
      </w:r>
      <w:r>
        <w:rPr>
          <w:rStyle w:val="dn"/>
          <w:szCs w:val="24"/>
        </w:rPr>
        <w:t>ůty předseda kárn</w:t>
      </w:r>
      <w:r>
        <w:rPr>
          <w:rStyle w:val="dn"/>
          <w:szCs w:val="24"/>
          <w:lang w:val="fr-FR"/>
        </w:rPr>
        <w:t xml:space="preserve">é </w:t>
      </w:r>
      <w:r>
        <w:rPr>
          <w:rStyle w:val="dn"/>
          <w:szCs w:val="24"/>
        </w:rPr>
        <w:t>komise postoupí spis předsedovi kárn</w:t>
      </w:r>
      <w:r>
        <w:rPr>
          <w:rStyle w:val="dn"/>
          <w:szCs w:val="24"/>
          <w:lang w:val="fr-FR"/>
        </w:rPr>
        <w:t>é</w:t>
      </w:r>
      <w:r>
        <w:rPr>
          <w:rStyle w:val="dn"/>
          <w:szCs w:val="24"/>
        </w:rPr>
        <w:t>ho senátu. Projednávání věci kárný</w:t>
      </w:r>
      <w:r>
        <w:rPr>
          <w:rStyle w:val="dn"/>
          <w:szCs w:val="24"/>
          <w:lang w:val="pt-PT"/>
        </w:rPr>
        <w:t>m sen</w:t>
      </w:r>
      <w:r>
        <w:rPr>
          <w:rStyle w:val="dn"/>
          <w:szCs w:val="24"/>
        </w:rPr>
        <w:t>átem je tímto započ</w:t>
      </w:r>
      <w:r>
        <w:rPr>
          <w:rStyle w:val="dn"/>
          <w:szCs w:val="24"/>
          <w:lang w:val="it-IT"/>
        </w:rPr>
        <w:t>ato a p</w:t>
      </w:r>
      <w:r>
        <w:rPr>
          <w:rStyle w:val="dn"/>
          <w:szCs w:val="24"/>
        </w:rPr>
        <w:t xml:space="preserve">ředseda již </w:t>
      </w:r>
      <w:r>
        <w:rPr>
          <w:rStyle w:val="dn"/>
          <w:szCs w:val="24"/>
          <w:lang w:val="de-DE"/>
        </w:rPr>
        <w:t>nen</w:t>
      </w:r>
      <w:r>
        <w:rPr>
          <w:rStyle w:val="dn"/>
          <w:szCs w:val="24"/>
        </w:rPr>
        <w:t xml:space="preserve">í </w:t>
      </w:r>
      <w:r>
        <w:rPr>
          <w:rStyle w:val="dn"/>
          <w:szCs w:val="24"/>
          <w:lang w:val="it-IT"/>
        </w:rPr>
        <w:t>opr</w:t>
      </w:r>
      <w:r>
        <w:rPr>
          <w:rStyle w:val="dn"/>
          <w:szCs w:val="24"/>
        </w:rPr>
        <w:t xml:space="preserve">ávněn zasahovat do řízení, </w:t>
      </w:r>
      <w:r>
        <w:rPr>
          <w:rStyle w:val="dn"/>
          <w:szCs w:val="24"/>
          <w:lang w:val="en-US"/>
        </w:rPr>
        <w:t>a to a</w:t>
      </w:r>
      <w:r>
        <w:rPr>
          <w:rStyle w:val="dn"/>
          <w:szCs w:val="24"/>
        </w:rPr>
        <w:t>ž do vynesení rozhodnutí kárný</w:t>
      </w:r>
      <w:r>
        <w:rPr>
          <w:rStyle w:val="dn"/>
          <w:szCs w:val="24"/>
          <w:lang w:val="pt-PT"/>
        </w:rPr>
        <w:t>m sen</w:t>
      </w:r>
      <w:r>
        <w:rPr>
          <w:rStyle w:val="dn"/>
          <w:szCs w:val="24"/>
        </w:rPr>
        <w:t>átem. Každ</w:t>
      </w:r>
      <w:r>
        <w:rPr>
          <w:rStyle w:val="dn"/>
          <w:szCs w:val="24"/>
          <w:lang w:val="fr-FR"/>
        </w:rPr>
        <w:t xml:space="preserve">é </w:t>
      </w:r>
      <w:r>
        <w:rPr>
          <w:rStyle w:val="dn"/>
          <w:szCs w:val="24"/>
        </w:rPr>
        <w:t>kárn</w:t>
      </w:r>
      <w:r>
        <w:rPr>
          <w:rStyle w:val="dn"/>
          <w:szCs w:val="24"/>
          <w:lang w:val="fr-FR"/>
        </w:rPr>
        <w:t xml:space="preserve">é </w:t>
      </w:r>
      <w:r>
        <w:rPr>
          <w:rStyle w:val="dn"/>
          <w:szCs w:val="24"/>
        </w:rPr>
        <w:t>opatření se zapisuje do rejstříku kárných opatření, vedeným kárnou komisí.</w:t>
      </w:r>
      <w:r>
        <w:rPr>
          <w:rStyle w:val="dn"/>
          <w:rFonts w:eastAsia="Times New Roman" w:cs="Times New Roman"/>
          <w:szCs w:val="24"/>
          <w:vertAlign w:val="superscript"/>
        </w:rPr>
        <w:footnoteReference w:id="107"/>
      </w:r>
      <w:r>
        <w:rPr>
          <w:rStyle w:val="dn"/>
          <w:szCs w:val="24"/>
        </w:rPr>
        <w:t xml:space="preserve"> </w:t>
      </w:r>
    </w:p>
    <w:p w:rsidR="009B70FF" w:rsidRDefault="00620BFE" w:rsidP="00620BFE">
      <w:pPr>
        <w:pStyle w:val="Nadpis4"/>
        <w:ind w:firstLine="0"/>
      </w:pPr>
      <w:r>
        <w:rPr>
          <w:rStyle w:val="dn"/>
          <w:color w:val="000000"/>
          <w:u w:color="000000"/>
        </w:rPr>
        <w:t>4.3.2.7</w:t>
      </w:r>
      <w:r>
        <w:rPr>
          <w:rStyle w:val="dn"/>
          <w:color w:val="000000"/>
          <w:u w:color="000000"/>
        </w:rPr>
        <w:tab/>
      </w:r>
      <w:r w:rsidR="009B70FF">
        <w:rPr>
          <w:rStyle w:val="dn"/>
          <w:color w:val="000000"/>
          <w:u w:color="000000"/>
        </w:rPr>
        <w:t>Zkušební komise</w:t>
      </w:r>
    </w:p>
    <w:p w:rsidR="009B70FF" w:rsidRDefault="009B70FF" w:rsidP="009B70FF">
      <w:pPr>
        <w:spacing w:after="220"/>
        <w:ind w:firstLine="708"/>
        <w:rPr>
          <w:rStyle w:val="dn"/>
          <w:rFonts w:eastAsia="Times New Roman" w:cs="Times New Roman"/>
          <w:szCs w:val="24"/>
        </w:rPr>
      </w:pPr>
      <w:r>
        <w:rPr>
          <w:rStyle w:val="dn"/>
          <w:szCs w:val="24"/>
        </w:rPr>
        <w:t>Zkušební komise zabezpečuje činnost její</w:t>
      </w:r>
      <w:r>
        <w:rPr>
          <w:rStyle w:val="dn"/>
          <w:szCs w:val="24"/>
          <w:lang w:val="de-DE"/>
        </w:rPr>
        <w:t xml:space="preserve">ch </w:t>
      </w:r>
      <w:r>
        <w:rPr>
          <w:rStyle w:val="dn"/>
          <w:szCs w:val="24"/>
        </w:rPr>
        <w:t>členů ve zkušební</w:t>
      </w:r>
      <w:r>
        <w:rPr>
          <w:rStyle w:val="dn"/>
          <w:szCs w:val="24"/>
          <w:lang w:val="de-DE"/>
        </w:rPr>
        <w:t>ch sen</w:t>
      </w:r>
      <w:r>
        <w:rPr>
          <w:rStyle w:val="dn"/>
          <w:szCs w:val="24"/>
        </w:rPr>
        <w:t>átech. Ti posuzují znalosti uchazečů při exekutorských zkouškách. Funkční období je 3 roky a členov</w:t>
      </w:r>
      <w:r>
        <w:rPr>
          <w:rStyle w:val="dn"/>
          <w:szCs w:val="24"/>
          <w:lang w:val="fr-FR"/>
        </w:rPr>
        <w:t xml:space="preserve">é </w:t>
      </w:r>
      <w:r>
        <w:rPr>
          <w:rStyle w:val="dn"/>
          <w:szCs w:val="24"/>
        </w:rPr>
        <w:t>jsou voleni jak z řad exekutorů, tak soudců, v poměru dvě třetiny exekutoři a 5 soudců. Zvolen je předseda i místopředseda, jež dočasně vykonává funkci v případě předsedovi nepřítomnosti. Může bý</w:t>
      </w:r>
      <w:r>
        <w:rPr>
          <w:rStyle w:val="dn"/>
          <w:szCs w:val="24"/>
          <w:lang w:val="nl-NL"/>
        </w:rPr>
        <w:t>t z</w:t>
      </w:r>
      <w:r>
        <w:rPr>
          <w:rStyle w:val="dn"/>
          <w:szCs w:val="24"/>
        </w:rPr>
        <w:t>ároveň předsedou požádán, aby jej trvale zastupoval v některý</w:t>
      </w:r>
      <w:r>
        <w:rPr>
          <w:rStyle w:val="dn"/>
          <w:szCs w:val="24"/>
          <w:lang w:val="de-DE"/>
        </w:rPr>
        <w:t xml:space="preserve">ch </w:t>
      </w:r>
      <w:r>
        <w:rPr>
          <w:rStyle w:val="dn"/>
          <w:szCs w:val="24"/>
        </w:rPr>
        <w:t>činnostech, jež náleží do jeho trval</w:t>
      </w:r>
      <w:r>
        <w:rPr>
          <w:rStyle w:val="dn"/>
          <w:szCs w:val="24"/>
          <w:lang w:val="fr-FR"/>
        </w:rPr>
        <w:t xml:space="preserve">é </w:t>
      </w:r>
      <w:r>
        <w:rPr>
          <w:rStyle w:val="dn"/>
          <w:szCs w:val="24"/>
        </w:rPr>
        <w:t>působnosti. Zkušební komise je předsedou svolávána jednou ročně.</w:t>
      </w:r>
      <w:r>
        <w:rPr>
          <w:rStyle w:val="dn"/>
          <w:rFonts w:eastAsia="Times New Roman" w:cs="Times New Roman"/>
          <w:szCs w:val="24"/>
          <w:vertAlign w:val="superscript"/>
        </w:rPr>
        <w:footnoteReference w:id="108"/>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ab/>
        <w:t>Co se t</w:t>
      </w:r>
      <w:r>
        <w:rPr>
          <w:rStyle w:val="dn"/>
          <w:szCs w:val="24"/>
        </w:rPr>
        <w:t>ýče činnosti zkušební komise, tak schvaluje seznam předpisů, kter</w:t>
      </w:r>
      <w:r>
        <w:rPr>
          <w:rStyle w:val="dn"/>
          <w:szCs w:val="24"/>
          <w:lang w:val="fr-FR"/>
        </w:rPr>
        <w:t xml:space="preserve">é </w:t>
      </w:r>
      <w:r>
        <w:rPr>
          <w:rStyle w:val="dn"/>
          <w:szCs w:val="24"/>
        </w:rPr>
        <w:t>jsou v souladu se zkušebním řádem, jejichž znalost je vyžadována u odborných zkoušek. Tento seznam je předsedou předkládán k </w:t>
      </w:r>
      <w:r>
        <w:rPr>
          <w:rStyle w:val="dn"/>
          <w:szCs w:val="24"/>
          <w:lang w:val="fr-FR"/>
        </w:rPr>
        <w:t>uve</w:t>
      </w:r>
      <w:r>
        <w:rPr>
          <w:rStyle w:val="dn"/>
          <w:szCs w:val="24"/>
        </w:rPr>
        <w:t>řejnění, a to prezidentovi Komory. O výsledku zkoušek je prezidium pravidelně informová</w:t>
      </w:r>
      <w:r>
        <w:rPr>
          <w:rStyle w:val="dn"/>
          <w:szCs w:val="24"/>
          <w:lang w:val="it-IT"/>
        </w:rPr>
        <w:t>no p</w:t>
      </w:r>
      <w:r>
        <w:rPr>
          <w:rStyle w:val="dn"/>
          <w:szCs w:val="24"/>
        </w:rPr>
        <w:t>ředsedou komise. Nicm</w:t>
      </w:r>
      <w:r>
        <w:rPr>
          <w:rStyle w:val="dn"/>
          <w:szCs w:val="24"/>
          <w:lang w:val="fr-FR"/>
        </w:rPr>
        <w:t>é</w:t>
      </w:r>
      <w:r>
        <w:rPr>
          <w:rStyle w:val="dn"/>
          <w:szCs w:val="24"/>
        </w:rPr>
        <w:t>ně hlavní činností komise je právě působení ve zkušební</w:t>
      </w:r>
      <w:r>
        <w:rPr>
          <w:rStyle w:val="dn"/>
          <w:szCs w:val="24"/>
          <w:lang w:val="de-DE"/>
        </w:rPr>
        <w:t>ch sen</w:t>
      </w:r>
      <w:r>
        <w:rPr>
          <w:rStyle w:val="dn"/>
          <w:szCs w:val="24"/>
        </w:rPr>
        <w:t>átech při exekutorských zkouškách.</w:t>
      </w:r>
      <w:r>
        <w:rPr>
          <w:rStyle w:val="dn"/>
          <w:rFonts w:eastAsia="Times New Roman" w:cs="Times New Roman"/>
          <w:szCs w:val="24"/>
          <w:vertAlign w:val="superscript"/>
        </w:rPr>
        <w:footnoteReference w:id="109"/>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Exekutorskou zkou</w:t>
      </w:r>
      <w:r>
        <w:rPr>
          <w:rStyle w:val="dn"/>
          <w:szCs w:val="24"/>
        </w:rPr>
        <w:t>šku je oprávně</w:t>
      </w:r>
      <w:r>
        <w:rPr>
          <w:rStyle w:val="dn"/>
          <w:szCs w:val="24"/>
          <w:lang w:val="nl-NL"/>
        </w:rPr>
        <w:t>n slo</w:t>
      </w:r>
      <w:r>
        <w:rPr>
          <w:rStyle w:val="dn"/>
          <w:szCs w:val="24"/>
        </w:rPr>
        <w:t>žit každý, kdo je v seznamu exekutorských koncipientů, pokud vykonal 3 letou koncipientskou praxi a nenastal u ně</w:t>
      </w:r>
      <w:r>
        <w:rPr>
          <w:rStyle w:val="dn"/>
          <w:szCs w:val="24"/>
          <w:lang w:val="nl-NL"/>
        </w:rPr>
        <w:t>j d</w:t>
      </w:r>
      <w:r>
        <w:rPr>
          <w:rStyle w:val="dn"/>
          <w:szCs w:val="24"/>
        </w:rPr>
        <w:t xml:space="preserve">ůvod k vyškrtnutí. Organizaci, termín a místo zkoušek určuje prezidium a zkušební komise. Tato zkouška se koná pravidelně </w:t>
      </w:r>
      <w:r>
        <w:rPr>
          <w:rStyle w:val="dn"/>
          <w:szCs w:val="24"/>
          <w:lang w:val="fr-FR"/>
        </w:rPr>
        <w:t>2x ro</w:t>
      </w:r>
      <w:r>
        <w:rPr>
          <w:rStyle w:val="dn"/>
          <w:szCs w:val="24"/>
        </w:rPr>
        <w:t>čně. Účastníci podají písemnou přihlášku a uhradí poplatek na úč</w:t>
      </w:r>
      <w:r>
        <w:rPr>
          <w:rStyle w:val="dn"/>
          <w:szCs w:val="24"/>
          <w:lang w:val="nl-NL"/>
        </w:rPr>
        <w:t>et EK</w:t>
      </w:r>
      <w:r>
        <w:rPr>
          <w:rStyle w:val="dn"/>
          <w:szCs w:val="24"/>
        </w:rPr>
        <w:t>ČR. Podle počtu účastníků předseda komise vylosuje odpovídající poč</w:t>
      </w:r>
      <w:r>
        <w:rPr>
          <w:rStyle w:val="dn"/>
          <w:szCs w:val="24"/>
          <w:lang w:val="da-DK"/>
        </w:rPr>
        <w:t xml:space="preserve">et </w:t>
      </w:r>
      <w:r>
        <w:rPr>
          <w:rStyle w:val="dn"/>
          <w:szCs w:val="24"/>
        </w:rPr>
        <w:t>členů komise. Ve zkušební komisi nemůže bý</w:t>
      </w:r>
      <w:r>
        <w:rPr>
          <w:rStyle w:val="dn"/>
          <w:szCs w:val="24"/>
          <w:lang w:val="nl-NL"/>
        </w:rPr>
        <w:t xml:space="preserve">t ten </w:t>
      </w:r>
      <w:r>
        <w:rPr>
          <w:rStyle w:val="dn"/>
          <w:szCs w:val="24"/>
        </w:rPr>
        <w:t>člen, u něhož je důvodn</w:t>
      </w:r>
      <w:r>
        <w:rPr>
          <w:rStyle w:val="dn"/>
          <w:szCs w:val="24"/>
          <w:lang w:val="fr-FR"/>
        </w:rPr>
        <w:t xml:space="preserve">é </w:t>
      </w:r>
      <w:r>
        <w:rPr>
          <w:rStyle w:val="dn"/>
          <w:szCs w:val="24"/>
        </w:rPr>
        <w:t>podezření podjatosti ve vztahu k </w:t>
      </w:r>
      <w:r>
        <w:rPr>
          <w:rStyle w:val="dn"/>
          <w:szCs w:val="24"/>
          <w:lang w:val="es-ES_tradnl"/>
        </w:rPr>
        <w:t>uchaze</w:t>
      </w:r>
      <w:r>
        <w:rPr>
          <w:rStyle w:val="dn"/>
          <w:szCs w:val="24"/>
        </w:rPr>
        <w:t>či. O vyloučení členů z tohoto důvodu rozhoduje předseda komise. Pokud však námitka podjatosti směřuje přímo k předsedovi, rozhoduje o ní zkušební komise. Uchazeči plní zkoušku z ústavního a správního práva, obč</w:t>
      </w:r>
      <w:r>
        <w:rPr>
          <w:rStyle w:val="dn"/>
          <w:szCs w:val="24"/>
          <w:lang w:val="da-DK"/>
        </w:rPr>
        <w:t>ansk</w:t>
      </w:r>
      <w:r>
        <w:rPr>
          <w:rStyle w:val="dn"/>
          <w:szCs w:val="24"/>
          <w:lang w:val="fr-FR"/>
        </w:rPr>
        <w:t>é</w:t>
      </w:r>
      <w:r>
        <w:rPr>
          <w:rStyle w:val="dn"/>
          <w:szCs w:val="24"/>
        </w:rPr>
        <w:t>ho, rodinn</w:t>
      </w:r>
      <w:r>
        <w:rPr>
          <w:rStyle w:val="dn"/>
          <w:szCs w:val="24"/>
          <w:lang w:val="fr-FR"/>
        </w:rPr>
        <w:t>é</w:t>
      </w:r>
      <w:r>
        <w:rPr>
          <w:rStyle w:val="dn"/>
          <w:szCs w:val="24"/>
        </w:rPr>
        <w:t>ho, pracovního, obchodního a trestního práva. Dále tak</w:t>
      </w:r>
      <w:r>
        <w:rPr>
          <w:rStyle w:val="dn"/>
          <w:szCs w:val="24"/>
          <w:lang w:val="fr-FR"/>
        </w:rPr>
        <w:t xml:space="preserve">é </w:t>
      </w:r>
      <w:r>
        <w:rPr>
          <w:rStyle w:val="dn"/>
          <w:szCs w:val="24"/>
        </w:rPr>
        <w:t>z předpisů, kter</w:t>
      </w:r>
      <w:r>
        <w:rPr>
          <w:rStyle w:val="dn"/>
          <w:szCs w:val="24"/>
          <w:lang w:val="fr-FR"/>
        </w:rPr>
        <w:t xml:space="preserve">é </w:t>
      </w:r>
      <w:r>
        <w:rPr>
          <w:rStyle w:val="dn"/>
          <w:szCs w:val="24"/>
        </w:rPr>
        <w:t xml:space="preserve">upravují výkon rozhodnutí, pravidel pro případ souběhu výkonu rozhodnutí, stavovských předpisů </w:t>
      </w:r>
      <w:r>
        <w:rPr>
          <w:rStyle w:val="dn"/>
          <w:szCs w:val="24"/>
          <w:lang w:val="de-DE"/>
        </w:rPr>
        <w:t>EK</w:t>
      </w:r>
      <w:r>
        <w:rPr>
          <w:rStyle w:val="dn"/>
          <w:szCs w:val="24"/>
        </w:rPr>
        <w:t xml:space="preserve">ČR a prováděcích předpisů k EŘ. Zkouška se dělí na písemnou, která je neveřejná a uchazeč v ní zpracovává 3 písemnosti a ústní část, která probíhá veřejně, následuje až </w:t>
      </w:r>
      <w:r>
        <w:rPr>
          <w:rStyle w:val="dn"/>
          <w:szCs w:val="24"/>
          <w:lang w:val="it-IT"/>
        </w:rPr>
        <w:t xml:space="preserve">po </w:t>
      </w:r>
      <w:r>
        <w:rPr>
          <w:rStyle w:val="dn"/>
          <w:szCs w:val="24"/>
        </w:rPr>
        <w:t>části písemn</w:t>
      </w:r>
      <w:r>
        <w:rPr>
          <w:rStyle w:val="dn"/>
          <w:szCs w:val="24"/>
          <w:lang w:val="fr-FR"/>
        </w:rPr>
        <w:t>é</w:t>
      </w:r>
      <w:r>
        <w:rPr>
          <w:rStyle w:val="dn"/>
          <w:szCs w:val="24"/>
        </w:rPr>
        <w:t xml:space="preserve">. Výsledky zkoušek se veřejně vyhlašují a hodnotí se prospěchovými stupni, a to buď </w:t>
      </w:r>
      <w:r>
        <w:rPr>
          <w:rStyle w:val="dn"/>
          <w:szCs w:val="24"/>
          <w:lang w:val="en-US"/>
        </w:rPr>
        <w:t>prosp</w:t>
      </w:r>
      <w:r>
        <w:rPr>
          <w:rStyle w:val="dn"/>
          <w:szCs w:val="24"/>
        </w:rPr>
        <w:t>ěl, nebo neprospě</w:t>
      </w:r>
      <w:r>
        <w:rPr>
          <w:rStyle w:val="dn"/>
          <w:szCs w:val="24"/>
          <w:lang w:val="pt-PT"/>
        </w:rPr>
        <w:t>l. V</w:t>
      </w:r>
      <w:r>
        <w:rPr>
          <w:rStyle w:val="dn"/>
          <w:szCs w:val="24"/>
        </w:rPr>
        <w:t> případě nepúspěchu může účastník zkoušku dvakrát opakovat. O průběhu zkoušek předseda komise pořizuje protokol.</w:t>
      </w:r>
      <w:r>
        <w:rPr>
          <w:rStyle w:val="dn"/>
          <w:rFonts w:eastAsia="Times New Roman" w:cs="Times New Roman"/>
          <w:szCs w:val="24"/>
          <w:vertAlign w:val="superscript"/>
        </w:rPr>
        <w:footnoteReference w:id="110"/>
      </w:r>
      <w:r>
        <w:rPr>
          <w:rStyle w:val="dn"/>
          <w:szCs w:val="24"/>
        </w:rPr>
        <w:t xml:space="preserve">   </w:t>
      </w:r>
    </w:p>
    <w:p w:rsidR="009B70FF" w:rsidRDefault="009B70FF" w:rsidP="007A2179">
      <w:pPr>
        <w:pStyle w:val="Nadpis4"/>
        <w:numPr>
          <w:ilvl w:val="3"/>
          <w:numId w:val="35"/>
        </w:numPr>
        <w:pBdr>
          <w:top w:val="nil"/>
          <w:left w:val="nil"/>
          <w:bottom w:val="nil"/>
          <w:right w:val="nil"/>
          <w:between w:val="nil"/>
          <w:bar w:val="nil"/>
        </w:pBdr>
        <w:spacing w:after="220" w:line="276" w:lineRule="auto"/>
        <w:jc w:val="left"/>
        <w:rPr>
          <w:color w:val="000000"/>
        </w:rPr>
      </w:pPr>
      <w:r>
        <w:rPr>
          <w:rStyle w:val="dn"/>
          <w:color w:val="000000"/>
          <w:u w:color="000000"/>
        </w:rPr>
        <w:t>Výběrová komise</w:t>
      </w:r>
    </w:p>
    <w:p w:rsidR="009B70FF" w:rsidRDefault="009B70FF" w:rsidP="009B70FF">
      <w:pPr>
        <w:spacing w:after="220"/>
        <w:ind w:firstLine="708"/>
        <w:rPr>
          <w:rStyle w:val="dn"/>
          <w:rFonts w:eastAsia="Times New Roman" w:cs="Times New Roman"/>
          <w:szCs w:val="24"/>
        </w:rPr>
      </w:pPr>
      <w:r>
        <w:rPr>
          <w:rStyle w:val="dn"/>
          <w:szCs w:val="24"/>
        </w:rPr>
        <w:t>Výběrová komise se ustanovuje ad hoc, a to pokud je koná</w:t>
      </w:r>
      <w:r>
        <w:rPr>
          <w:rStyle w:val="dn"/>
          <w:szCs w:val="24"/>
          <w:lang w:val="it-IT"/>
        </w:rPr>
        <w:t>no v</w:t>
      </w:r>
      <w:r>
        <w:rPr>
          <w:rStyle w:val="dn"/>
          <w:szCs w:val="24"/>
        </w:rPr>
        <w:t>ýběrové řízení na obsazení volných exekutorský</w:t>
      </w:r>
      <w:r>
        <w:rPr>
          <w:rStyle w:val="dn"/>
          <w:szCs w:val="24"/>
          <w:lang w:val="de-DE"/>
        </w:rPr>
        <w:t xml:space="preserve">ch </w:t>
      </w:r>
      <w:r>
        <w:rPr>
          <w:rStyle w:val="dn"/>
          <w:szCs w:val="24"/>
        </w:rPr>
        <w:t>úřadů. Původně byla tato kompetence vykonávána Komorou, ale té jí byla odňata tzv. sankční novelou. Členov</w:t>
      </w:r>
      <w:r>
        <w:rPr>
          <w:rStyle w:val="dn"/>
          <w:szCs w:val="24"/>
          <w:lang w:val="fr-FR"/>
        </w:rPr>
        <w:t xml:space="preserve">é </w:t>
      </w:r>
      <w:r>
        <w:rPr>
          <w:rStyle w:val="dn"/>
          <w:szCs w:val="24"/>
        </w:rPr>
        <w:t>komise a jejich náhradníci jsou voleni prezidiem komory, a musí být zvoleni do 30 dnů ode dne vyhlášení výběrov</w:t>
      </w:r>
      <w:r>
        <w:rPr>
          <w:rStyle w:val="dn"/>
          <w:szCs w:val="24"/>
          <w:lang w:val="fr-FR"/>
        </w:rPr>
        <w:t>é</w:t>
      </w:r>
      <w:r>
        <w:rPr>
          <w:rStyle w:val="dn"/>
          <w:szCs w:val="24"/>
        </w:rPr>
        <w:t>ho řízení. Dva členov</w:t>
      </w:r>
      <w:r>
        <w:rPr>
          <w:rStyle w:val="dn"/>
          <w:szCs w:val="24"/>
          <w:lang w:val="fr-FR"/>
        </w:rPr>
        <w:t xml:space="preserve">é </w:t>
      </w:r>
      <w:r>
        <w:rPr>
          <w:rStyle w:val="dn"/>
          <w:szCs w:val="24"/>
        </w:rPr>
        <w:t>jsou voleni z řad exekutorů a dva z řad soudců. Tito soudci jsou navrženi předsedou krajsk</w:t>
      </w:r>
      <w:r>
        <w:rPr>
          <w:rStyle w:val="dn"/>
          <w:szCs w:val="24"/>
          <w:lang w:val="fr-FR"/>
        </w:rPr>
        <w:t>é</w:t>
      </w:r>
      <w:r>
        <w:rPr>
          <w:rStyle w:val="dn"/>
          <w:szCs w:val="24"/>
        </w:rPr>
        <w:t>ho soudu, v jehož obvodu je okresní soud a tudíž obvodu, do něhož by měl být jmenová</w:t>
      </w:r>
      <w:r>
        <w:rPr>
          <w:rStyle w:val="dn"/>
          <w:szCs w:val="24"/>
          <w:lang w:val="nl-NL"/>
        </w:rPr>
        <w:t>n dan</w:t>
      </w:r>
      <w:r>
        <w:rPr>
          <w:rStyle w:val="dn"/>
          <w:szCs w:val="24"/>
        </w:rPr>
        <w:t>ý exekutor. Další dva členov</w:t>
      </w:r>
      <w:r>
        <w:rPr>
          <w:rStyle w:val="dn"/>
          <w:szCs w:val="24"/>
          <w:lang w:val="fr-FR"/>
        </w:rPr>
        <w:t xml:space="preserve">é </w:t>
      </w:r>
      <w:r>
        <w:rPr>
          <w:rStyle w:val="dn"/>
          <w:szCs w:val="24"/>
        </w:rPr>
        <w:t>jsou voleni z řad zaměstnanců ministerstva, a to na návrh ministra spravedlnosti. Povinnost členů komise a jejich náhradníků je sdělit Komoře skutečnosti, jež mohou v</w:t>
      </w:r>
      <w:r>
        <w:rPr>
          <w:rStyle w:val="dn"/>
          <w:szCs w:val="24"/>
          <w:lang w:val="fr-FR"/>
        </w:rPr>
        <w:t>é</w:t>
      </w:r>
      <w:r>
        <w:rPr>
          <w:rStyle w:val="dn"/>
          <w:szCs w:val="24"/>
        </w:rPr>
        <w:t>st k pochybnostem o jejich nestrannosti k účastníkům.</w:t>
      </w:r>
      <w:r>
        <w:rPr>
          <w:rStyle w:val="dn"/>
          <w:rFonts w:eastAsia="Times New Roman" w:cs="Times New Roman"/>
          <w:szCs w:val="24"/>
          <w:vertAlign w:val="superscript"/>
        </w:rPr>
        <w:footnoteReference w:id="111"/>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Komise na sv</w:t>
      </w:r>
      <w:r>
        <w:rPr>
          <w:rStyle w:val="dn"/>
          <w:szCs w:val="24"/>
          <w:lang w:val="fr-FR"/>
        </w:rPr>
        <w:t>é</w:t>
      </w:r>
      <w:r>
        <w:rPr>
          <w:rStyle w:val="dn"/>
          <w:szCs w:val="24"/>
        </w:rPr>
        <w:t>m zasedání ze svý</w:t>
      </w:r>
      <w:r>
        <w:rPr>
          <w:rStyle w:val="dn"/>
          <w:szCs w:val="24"/>
          <w:lang w:val="de-DE"/>
        </w:rPr>
        <w:t xml:space="preserve">ch </w:t>
      </w:r>
      <w:r>
        <w:rPr>
          <w:rStyle w:val="dn"/>
          <w:szCs w:val="24"/>
        </w:rPr>
        <w:t>řad losuje předsedu, který vede jednání a jeho úkolem je navíc shromažďovat materiály o výběrov</w:t>
      </w:r>
      <w:r>
        <w:rPr>
          <w:rStyle w:val="dn"/>
          <w:szCs w:val="24"/>
          <w:lang w:val="fr-FR"/>
        </w:rPr>
        <w:t>é</w:t>
      </w:r>
      <w:r>
        <w:rPr>
          <w:rStyle w:val="dn"/>
          <w:szCs w:val="24"/>
        </w:rPr>
        <w:t>m řízení, ty jsou následně předány prezidiu. Ostatní povinnosti předsedy komise a její</w:t>
      </w:r>
      <w:r>
        <w:rPr>
          <w:rStyle w:val="dn"/>
          <w:szCs w:val="24"/>
          <w:lang w:val="de-DE"/>
        </w:rPr>
        <w:t xml:space="preserve">ch </w:t>
      </w:r>
      <w:r>
        <w:rPr>
          <w:rStyle w:val="dn"/>
          <w:szCs w:val="24"/>
        </w:rPr>
        <w:t>členů jsou podrobně upraveny ve stavovsk</w:t>
      </w:r>
      <w:r>
        <w:rPr>
          <w:rStyle w:val="dn"/>
          <w:szCs w:val="24"/>
          <w:lang w:val="fr-FR"/>
        </w:rPr>
        <w:t>é</w:t>
      </w:r>
      <w:r>
        <w:rPr>
          <w:rStyle w:val="dn"/>
          <w:szCs w:val="24"/>
          <w:lang w:val="pt-PT"/>
        </w:rPr>
        <w:t>m p</w:t>
      </w:r>
      <w:r>
        <w:rPr>
          <w:rStyle w:val="dn"/>
          <w:szCs w:val="24"/>
        </w:rPr>
        <w:t xml:space="preserve">ředpise. Komise jedná </w:t>
      </w:r>
      <w:r>
        <w:rPr>
          <w:rStyle w:val="dn"/>
          <w:szCs w:val="24"/>
          <w:lang w:val="en-US"/>
        </w:rPr>
        <w:t>neve</w:t>
      </w:r>
      <w:r>
        <w:rPr>
          <w:rStyle w:val="dn"/>
          <w:szCs w:val="24"/>
        </w:rPr>
        <w:t xml:space="preserve">řejně, jednání </w:t>
      </w:r>
      <w:r>
        <w:rPr>
          <w:rStyle w:val="dn"/>
          <w:szCs w:val="24"/>
          <w:lang w:val="da-DK"/>
        </w:rPr>
        <w:t>vede p</w:t>
      </w:r>
      <w:r>
        <w:rPr>
          <w:rStyle w:val="dn"/>
          <w:szCs w:val="24"/>
        </w:rPr>
        <w:t>ředseda komise a je nutn</w:t>
      </w:r>
      <w:r>
        <w:rPr>
          <w:rStyle w:val="dn"/>
          <w:szCs w:val="24"/>
          <w:lang w:val="fr-FR"/>
        </w:rPr>
        <w:t>é</w:t>
      </w:r>
      <w:r>
        <w:rPr>
          <w:rStyle w:val="dn"/>
          <w:szCs w:val="24"/>
        </w:rPr>
        <w:t>, aby byli přítomni všichni členov</w:t>
      </w:r>
      <w:r>
        <w:rPr>
          <w:rStyle w:val="dn"/>
          <w:szCs w:val="24"/>
          <w:lang w:val="fr-FR"/>
        </w:rPr>
        <w:t>é</w:t>
      </w:r>
      <w:r>
        <w:rPr>
          <w:rStyle w:val="dn"/>
          <w:szCs w:val="24"/>
        </w:rPr>
        <w:t>. Jednání se může zúčastnit mimo členy komise pouze zapisovatel. Během hlasování se jej nesmí zdrž</w:t>
      </w:r>
      <w:r>
        <w:rPr>
          <w:rStyle w:val="dn"/>
          <w:szCs w:val="24"/>
          <w:lang w:val="da-DK"/>
        </w:rPr>
        <w:t xml:space="preserve">et </w:t>
      </w:r>
      <w:r>
        <w:rPr>
          <w:rStyle w:val="dn"/>
          <w:szCs w:val="24"/>
        </w:rPr>
        <w:t>žádný člen komise. Komise projedná ještě před zahájením slyšení jednotliv</w:t>
      </w:r>
      <w:r>
        <w:rPr>
          <w:rStyle w:val="dn"/>
          <w:szCs w:val="24"/>
          <w:lang w:val="fr-FR"/>
        </w:rPr>
        <w:t xml:space="preserve">é </w:t>
      </w:r>
      <w:r>
        <w:rPr>
          <w:rStyle w:val="dn"/>
          <w:szCs w:val="24"/>
        </w:rPr>
        <w:t>přihlášky a zajistí nerušený průběh slyšení. Po jeho skončení pak probíhá jednání komise a členov</w:t>
      </w:r>
      <w:r>
        <w:rPr>
          <w:rStyle w:val="dn"/>
          <w:szCs w:val="24"/>
          <w:lang w:val="fr-FR"/>
        </w:rPr>
        <w:t xml:space="preserve">é </w:t>
      </w:r>
      <w:r>
        <w:rPr>
          <w:rStyle w:val="dn"/>
          <w:szCs w:val="24"/>
        </w:rPr>
        <w:t>hodnotí jednotlivé účastníky na základě bodov</w:t>
      </w:r>
      <w:r>
        <w:rPr>
          <w:rStyle w:val="dn"/>
          <w:szCs w:val="24"/>
          <w:lang w:val="fr-FR"/>
        </w:rPr>
        <w:t>é</w:t>
      </w:r>
      <w:r>
        <w:rPr>
          <w:rStyle w:val="dn"/>
          <w:szCs w:val="24"/>
        </w:rPr>
        <w:t>ho ohodnocení v rozsahu 0-10 bodů a toto hodnocení odůvodní. Toto hodnocení se pak předává předsedovi komise. Pokud by dva či více účastníků byli ohodnoceni stejným poč</w:t>
      </w:r>
      <w:r>
        <w:rPr>
          <w:rStyle w:val="dn"/>
          <w:szCs w:val="24"/>
          <w:lang w:val="en-US"/>
        </w:rPr>
        <w:t>tem bod</w:t>
      </w:r>
      <w:r>
        <w:rPr>
          <w:rStyle w:val="dn"/>
          <w:szCs w:val="24"/>
        </w:rPr>
        <w:t>ů</w:t>
      </w:r>
      <w:r>
        <w:rPr>
          <w:rStyle w:val="dn"/>
          <w:szCs w:val="24"/>
          <w:lang w:val="pt-PT"/>
        </w:rPr>
        <w:t>, o po</w:t>
      </w:r>
      <w:r>
        <w:rPr>
          <w:rStyle w:val="dn"/>
          <w:szCs w:val="24"/>
        </w:rPr>
        <w:t>řadí se pak rozhodne hlasováním. Pokud by i přesto hlasování dopadlo nerozhodně, přistupuje se pak k losování. Průběh jednání a rozhodnutí komise se zaznamenává do protokolu, který podepíší všichni členov</w:t>
      </w:r>
      <w:r>
        <w:rPr>
          <w:rStyle w:val="dn"/>
          <w:szCs w:val="24"/>
          <w:lang w:val="fr-FR"/>
        </w:rPr>
        <w:t xml:space="preserve">é, </w:t>
      </w:r>
      <w:r>
        <w:rPr>
          <w:rStyle w:val="dn"/>
          <w:szCs w:val="24"/>
        </w:rPr>
        <w:t>včetně zapisovatele. Do 30 dnů pak prezidium vydá rozhodnutí o tom, který účastní</w:t>
      </w:r>
      <w:r>
        <w:rPr>
          <w:rStyle w:val="dn"/>
          <w:szCs w:val="24"/>
          <w:lang w:val="pt-PT"/>
        </w:rPr>
        <w:t>k dos</w:t>
      </w:r>
      <w:r>
        <w:rPr>
          <w:rStyle w:val="dn"/>
          <w:szCs w:val="24"/>
        </w:rPr>
        <w:t>áhl nejvyššího počtu bodů, tudíž ve výběrov</w:t>
      </w:r>
      <w:r>
        <w:rPr>
          <w:rStyle w:val="dn"/>
          <w:szCs w:val="24"/>
          <w:lang w:val="fr-FR"/>
        </w:rPr>
        <w:t>é</w:t>
      </w:r>
      <w:r>
        <w:rPr>
          <w:rStyle w:val="dn"/>
          <w:szCs w:val="24"/>
        </w:rPr>
        <w:t>m řízení uspěl a splňuje tak předpoklady pro jmenování soudním exekutorem. Toto rozhodnutí je doruč</w:t>
      </w:r>
      <w:r>
        <w:rPr>
          <w:rStyle w:val="dn"/>
          <w:szCs w:val="24"/>
          <w:lang w:val="it-IT"/>
        </w:rPr>
        <w:t xml:space="preserve">eno </w:t>
      </w:r>
      <w:r>
        <w:rPr>
          <w:rStyle w:val="dn"/>
          <w:szCs w:val="24"/>
        </w:rPr>
        <w:t>účastníků</w:t>
      </w:r>
      <w:r>
        <w:rPr>
          <w:rStyle w:val="dn"/>
          <w:szCs w:val="24"/>
          <w:lang w:val="pt-PT"/>
        </w:rPr>
        <w:t>m a n</w:t>
      </w:r>
      <w:r>
        <w:rPr>
          <w:rStyle w:val="dn"/>
          <w:szCs w:val="24"/>
        </w:rPr>
        <w:t>ásledně zveřejněno na stránkách Exekutorsk</w:t>
      </w:r>
      <w:r>
        <w:rPr>
          <w:rStyle w:val="dn"/>
          <w:szCs w:val="24"/>
          <w:lang w:val="fr-FR"/>
        </w:rPr>
        <w:t xml:space="preserve">é </w:t>
      </w:r>
      <w:r>
        <w:rPr>
          <w:rStyle w:val="dn"/>
          <w:szCs w:val="24"/>
        </w:rPr>
        <w:t>komory.</w:t>
      </w:r>
      <w:r>
        <w:rPr>
          <w:rStyle w:val="dn"/>
          <w:rFonts w:eastAsia="Times New Roman" w:cs="Times New Roman"/>
          <w:szCs w:val="24"/>
          <w:vertAlign w:val="superscript"/>
        </w:rPr>
        <w:footnoteReference w:id="112"/>
      </w:r>
      <w:r>
        <w:rPr>
          <w:rStyle w:val="dn"/>
          <w:szCs w:val="24"/>
        </w:rPr>
        <w:t xml:space="preserve"> </w:t>
      </w:r>
    </w:p>
    <w:p w:rsidR="00620BFE" w:rsidRDefault="00620BFE" w:rsidP="00620BFE">
      <w:pPr>
        <w:pStyle w:val="Nadpis3"/>
        <w:ind w:firstLine="0"/>
        <w:rPr>
          <w:rStyle w:val="dn"/>
          <w:szCs w:val="24"/>
        </w:rPr>
      </w:pPr>
      <w:bookmarkStart w:id="88" w:name="_Toc29"/>
      <w:bookmarkStart w:id="89" w:name="_Toc18276744"/>
      <w:bookmarkStart w:id="90" w:name="_Toc18313964"/>
      <w:r>
        <w:rPr>
          <w:rStyle w:val="dn"/>
          <w:color w:val="000000"/>
          <w:szCs w:val="24"/>
          <w:u w:color="000000"/>
        </w:rPr>
        <w:t>4.3.3</w:t>
      </w:r>
      <w:r>
        <w:rPr>
          <w:rStyle w:val="dn"/>
          <w:color w:val="000000"/>
          <w:szCs w:val="24"/>
          <w:u w:color="000000"/>
        </w:rPr>
        <w:tab/>
      </w:r>
      <w:r w:rsidR="009B70FF" w:rsidRPr="00A83924">
        <w:rPr>
          <w:rStyle w:val="dn"/>
          <w:color w:val="000000"/>
          <w:szCs w:val="24"/>
          <w:u w:color="000000"/>
        </w:rPr>
        <w:t>Dohled</w:t>
      </w:r>
      <w:bookmarkEnd w:id="88"/>
      <w:bookmarkEnd w:id="89"/>
      <w:bookmarkEnd w:id="90"/>
    </w:p>
    <w:p w:rsidR="009B70FF" w:rsidRDefault="009B70FF" w:rsidP="009B70FF">
      <w:pPr>
        <w:spacing w:before="240" w:after="240"/>
        <w:rPr>
          <w:rStyle w:val="dn"/>
          <w:rFonts w:eastAsia="Times New Roman" w:cs="Times New Roman"/>
          <w:szCs w:val="24"/>
        </w:rPr>
      </w:pPr>
      <w:r>
        <w:rPr>
          <w:rStyle w:val="dn"/>
          <w:szCs w:val="24"/>
        </w:rPr>
        <w:t>Jelikož stát delegoval část svých soudních pravomocí na soudní exekutory, bylo třeba jejich činnost nějak regulovat a stanovit orgán vykonávající nad jejich činností dohled. Tento dohled vykonává Exekutorská komora, Ministerstvo spravedlnost č</w:t>
      </w:r>
      <w:r>
        <w:rPr>
          <w:rStyle w:val="dn"/>
          <w:szCs w:val="24"/>
          <w:lang w:val="it-IT"/>
        </w:rPr>
        <w:t>i p</w:t>
      </w:r>
      <w:r>
        <w:rPr>
          <w:rStyle w:val="dn"/>
          <w:szCs w:val="24"/>
        </w:rPr>
        <w:t>ředseda OS. Exekutorská komora ČR vykonává dohled nad činností exekutora, nad řízením činnosti exekutorsk</w:t>
      </w:r>
      <w:r>
        <w:rPr>
          <w:rStyle w:val="dn"/>
          <w:szCs w:val="24"/>
          <w:lang w:val="fr-FR"/>
        </w:rPr>
        <w:t>é</w:t>
      </w:r>
      <w:r>
        <w:rPr>
          <w:rStyle w:val="dn"/>
          <w:szCs w:val="24"/>
        </w:rPr>
        <w:t>ho úřadu a nad dodržováním povinností, kter</w:t>
      </w:r>
      <w:r>
        <w:rPr>
          <w:rStyle w:val="dn"/>
          <w:szCs w:val="24"/>
          <w:lang w:val="fr-FR"/>
        </w:rPr>
        <w:t xml:space="preserve">é </w:t>
      </w:r>
      <w:r>
        <w:rPr>
          <w:rStyle w:val="dn"/>
          <w:szCs w:val="24"/>
        </w:rPr>
        <w:t>jsou exekutorovi stanoven</w:t>
      </w:r>
      <w:r>
        <w:rPr>
          <w:rStyle w:val="dn"/>
          <w:szCs w:val="24"/>
          <w:lang w:val="fr-FR"/>
        </w:rPr>
        <w:t xml:space="preserve">é </w:t>
      </w:r>
      <w:r>
        <w:rPr>
          <w:rStyle w:val="dn"/>
          <w:szCs w:val="24"/>
        </w:rPr>
        <w:t>zákonem, a o některých opatřeních proti legalizaci vý</w:t>
      </w:r>
      <w:r>
        <w:rPr>
          <w:rStyle w:val="dn"/>
          <w:szCs w:val="24"/>
          <w:lang w:val="es-ES_tradnl"/>
        </w:rPr>
        <w:t>nos</w:t>
      </w:r>
      <w:r>
        <w:rPr>
          <w:rStyle w:val="dn"/>
          <w:szCs w:val="24"/>
        </w:rPr>
        <w:t>ů z financování terorismu a jin</w:t>
      </w:r>
      <w:r>
        <w:rPr>
          <w:rStyle w:val="dn"/>
          <w:szCs w:val="24"/>
          <w:lang w:val="fr-FR"/>
        </w:rPr>
        <w:t xml:space="preserve">é </w:t>
      </w:r>
      <w:r>
        <w:rPr>
          <w:rStyle w:val="dn"/>
          <w:szCs w:val="24"/>
        </w:rPr>
        <w:t>trestné činnosti. Tento dohled je prováděn podle ustanovení §7 odst. 5 zákona č. 120/2001 Sb., o soudních exekutorech a exekuční činnosti.</w:t>
      </w:r>
      <w:r>
        <w:rPr>
          <w:rStyle w:val="dn"/>
          <w:rFonts w:eastAsia="Times New Roman" w:cs="Times New Roman"/>
          <w:szCs w:val="24"/>
          <w:vertAlign w:val="superscript"/>
        </w:rPr>
        <w:footnoteReference w:id="113"/>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Exekutorsk</w:t>
      </w:r>
      <w:r>
        <w:rPr>
          <w:rStyle w:val="dn"/>
          <w:szCs w:val="24"/>
        </w:rPr>
        <w:t>á komora je při výkonu dohledu oprávněna, po předchozím oznámení soudnímu exekutorovi či jeho zástupci, vstupovat do prostoru exekutorsk</w:t>
      </w:r>
      <w:r>
        <w:rPr>
          <w:rStyle w:val="dn"/>
          <w:szCs w:val="24"/>
          <w:lang w:val="fr-FR"/>
        </w:rPr>
        <w:t>é</w:t>
      </w:r>
      <w:r>
        <w:rPr>
          <w:rStyle w:val="dn"/>
          <w:szCs w:val="24"/>
        </w:rPr>
        <w:t>ho úřadu v rámci pravidelných kontrol. Komora můž</w:t>
      </w:r>
      <w:r>
        <w:rPr>
          <w:rStyle w:val="dn"/>
          <w:szCs w:val="24"/>
          <w:lang w:val="de-DE"/>
        </w:rPr>
        <w:t>e nahl</w:t>
      </w:r>
      <w:r>
        <w:rPr>
          <w:rStyle w:val="dn"/>
          <w:szCs w:val="24"/>
        </w:rPr>
        <w:t>ížet do listin, spisů a evidence exekutora a pořizovat z nich záznamy a kopie. Může požadovat písemn</w:t>
      </w:r>
      <w:r>
        <w:rPr>
          <w:rStyle w:val="dn"/>
          <w:szCs w:val="24"/>
          <w:lang w:val="fr-FR"/>
        </w:rPr>
        <w:t xml:space="preserve">é </w:t>
      </w:r>
      <w:r>
        <w:rPr>
          <w:rStyle w:val="dn"/>
          <w:szCs w:val="24"/>
        </w:rPr>
        <w:t>vyjádření exekutora k věci, jež je předmětem státního dohledu, a to ve stanoven</w:t>
      </w:r>
      <w:r>
        <w:rPr>
          <w:rStyle w:val="dn"/>
          <w:szCs w:val="24"/>
          <w:lang w:val="fr-FR"/>
        </w:rPr>
        <w:t xml:space="preserve">é </w:t>
      </w:r>
      <w:r>
        <w:rPr>
          <w:rStyle w:val="dn"/>
          <w:szCs w:val="24"/>
          <w:lang w:val="pt-PT"/>
        </w:rPr>
        <w:t>lh</w:t>
      </w:r>
      <w:r>
        <w:rPr>
          <w:rStyle w:val="dn"/>
          <w:szCs w:val="24"/>
        </w:rPr>
        <w:t>ůtě. Zároveň může požadovat i ústní vysvětlení exekutora k dan</w:t>
      </w:r>
      <w:r>
        <w:rPr>
          <w:rStyle w:val="dn"/>
          <w:szCs w:val="24"/>
          <w:lang w:val="fr-FR"/>
        </w:rPr>
        <w:t xml:space="preserve">é </w:t>
      </w:r>
      <w:r>
        <w:rPr>
          <w:rStyle w:val="dn"/>
          <w:szCs w:val="24"/>
        </w:rPr>
        <w:t>věci. Soudní exekutor je povinen ve vztahu k Exekutorsk</w:t>
      </w:r>
      <w:r>
        <w:rPr>
          <w:rStyle w:val="dn"/>
          <w:szCs w:val="24"/>
          <w:lang w:val="fr-FR"/>
        </w:rPr>
        <w:t xml:space="preserve">é </w:t>
      </w:r>
      <w:r>
        <w:rPr>
          <w:rStyle w:val="dn"/>
          <w:szCs w:val="24"/>
        </w:rPr>
        <w:t>komoře Č</w:t>
      </w:r>
      <w:r>
        <w:rPr>
          <w:rStyle w:val="dn"/>
          <w:szCs w:val="24"/>
          <w:lang w:val="de-DE"/>
        </w:rPr>
        <w:t>R n</w:t>
      </w:r>
      <w:r>
        <w:rPr>
          <w:rStyle w:val="dn"/>
          <w:szCs w:val="24"/>
        </w:rPr>
        <w:t>áležit</w:t>
      </w:r>
      <w:r>
        <w:rPr>
          <w:rStyle w:val="dn"/>
          <w:szCs w:val="24"/>
          <w:lang w:val="fr-FR"/>
        </w:rPr>
        <w:t>é sou</w:t>
      </w:r>
      <w:r>
        <w:rPr>
          <w:rStyle w:val="dn"/>
          <w:szCs w:val="24"/>
        </w:rPr>
        <w:t>činnosti při výkonu dohledu ve výše uvedených záležitostí.</w:t>
      </w:r>
      <w:r>
        <w:rPr>
          <w:rStyle w:val="dn"/>
          <w:rFonts w:eastAsia="Times New Roman" w:cs="Times New Roman"/>
          <w:szCs w:val="24"/>
          <w:vertAlign w:val="superscript"/>
        </w:rPr>
        <w:footnoteReference w:id="114"/>
      </w:r>
      <w:r>
        <w:rPr>
          <w:rStyle w:val="dn"/>
          <w:szCs w:val="24"/>
        </w:rPr>
        <w:t xml:space="preserve"> </w:t>
      </w:r>
    </w:p>
    <w:p w:rsidR="009B70FF" w:rsidRDefault="009B70FF" w:rsidP="00620BFE">
      <w:pPr>
        <w:rPr>
          <w:rStyle w:val="dn"/>
          <w:szCs w:val="24"/>
        </w:rPr>
      </w:pPr>
      <w:r>
        <w:rPr>
          <w:rStyle w:val="dn"/>
          <w:rFonts w:eastAsia="Times New Roman" w:cs="Times New Roman"/>
          <w:szCs w:val="24"/>
        </w:rPr>
        <w:t>Ministerstvo spravedlnosti prov</w:t>
      </w:r>
      <w:r>
        <w:rPr>
          <w:rStyle w:val="dn"/>
          <w:szCs w:val="24"/>
        </w:rPr>
        <w:t>ádí státní dohled nad činností soudních exekutorů na základě podnětu právnický</w:t>
      </w:r>
      <w:r>
        <w:rPr>
          <w:rStyle w:val="dn"/>
          <w:szCs w:val="24"/>
          <w:lang w:val="de-DE"/>
        </w:rPr>
        <w:t xml:space="preserve">ch </w:t>
      </w:r>
      <w:r>
        <w:rPr>
          <w:rStyle w:val="dn"/>
          <w:szCs w:val="24"/>
        </w:rPr>
        <w:t>či fyzických osob a takto prověřuje, zdali je postup exekutora v souladu se zákonem. Dohlíží nad dodržováním kancelářsk</w:t>
      </w:r>
      <w:r>
        <w:rPr>
          <w:rStyle w:val="dn"/>
          <w:szCs w:val="24"/>
          <w:lang w:val="fr-FR"/>
        </w:rPr>
        <w:t>é</w:t>
      </w:r>
      <w:r>
        <w:rPr>
          <w:rStyle w:val="dn"/>
          <w:szCs w:val="24"/>
        </w:rPr>
        <w:t xml:space="preserve">ho řádu a nad plynulostí </w:t>
      </w:r>
      <w:r>
        <w:rPr>
          <w:rStyle w:val="dn"/>
          <w:szCs w:val="24"/>
          <w:lang w:val="it-IT"/>
        </w:rPr>
        <w:t>a d</w:t>
      </w:r>
      <w:r>
        <w:rPr>
          <w:rStyle w:val="dn"/>
          <w:szCs w:val="24"/>
          <w:lang w:val="fr-FR"/>
        </w:rPr>
        <w:t>é</w:t>
      </w:r>
      <w:r>
        <w:rPr>
          <w:rStyle w:val="dn"/>
          <w:szCs w:val="24"/>
        </w:rPr>
        <w:t>lkou exekučního řízení. Státní dohled prováděný ministerstvem spravedlnosti probíhá nad činností soudních exekutorů uveden</w:t>
      </w:r>
      <w:r>
        <w:rPr>
          <w:rStyle w:val="dn"/>
          <w:szCs w:val="24"/>
          <w:lang w:val="fr-FR"/>
        </w:rPr>
        <w:t xml:space="preserve">é </w:t>
      </w:r>
      <w:r>
        <w:rPr>
          <w:rStyle w:val="dn"/>
          <w:szCs w:val="24"/>
        </w:rPr>
        <w:t>v ust. § 74 odst. 1 pí</w:t>
      </w:r>
      <w:r>
        <w:rPr>
          <w:rStyle w:val="dn"/>
          <w:szCs w:val="24"/>
          <w:lang w:val="pt-PT"/>
        </w:rPr>
        <w:t xml:space="preserve">sm. C) a </w:t>
      </w:r>
      <w:r>
        <w:rPr>
          <w:rStyle w:val="dn"/>
          <w:szCs w:val="24"/>
        </w:rPr>
        <w:t xml:space="preserve">§ </w:t>
      </w:r>
      <w:r>
        <w:rPr>
          <w:rStyle w:val="dn"/>
          <w:szCs w:val="24"/>
          <w:lang w:val="pt-PT"/>
        </w:rPr>
        <w:t>76a exeku</w:t>
      </w:r>
      <w:r>
        <w:rPr>
          <w:rStyle w:val="dn"/>
          <w:szCs w:val="24"/>
        </w:rPr>
        <w:t>čního řádu a zároveň nad nakládáním se zvláštním účtem podle § 46 odst. 5 ex. řádu. Dále tak</w:t>
      </w:r>
      <w:r>
        <w:rPr>
          <w:rStyle w:val="dn"/>
          <w:szCs w:val="24"/>
          <w:lang w:val="fr-FR"/>
        </w:rPr>
        <w:t xml:space="preserve">é </w:t>
      </w:r>
      <w:r>
        <w:rPr>
          <w:rStyle w:val="dn"/>
          <w:szCs w:val="24"/>
        </w:rPr>
        <w:t>nad nakládáním s prostředky, jež jsou na zvláštním účtu. Tento dohled může ministerstvo spravedlnosti vykonávat pouze u činností soudního exekutora, kter</w:t>
      </w:r>
      <w:r>
        <w:rPr>
          <w:rStyle w:val="dn"/>
          <w:szCs w:val="24"/>
          <w:lang w:val="fr-FR"/>
        </w:rPr>
        <w:t xml:space="preserve">é </w:t>
      </w:r>
      <w:r>
        <w:rPr>
          <w:rStyle w:val="dn"/>
          <w:szCs w:val="24"/>
        </w:rPr>
        <w:t xml:space="preserve">vykonává jako úřední osoba a jedná </w:t>
      </w:r>
      <w:r>
        <w:rPr>
          <w:rStyle w:val="dn"/>
          <w:szCs w:val="24"/>
          <w:lang w:val="pt-PT"/>
        </w:rPr>
        <w:t>se o v</w:t>
      </w:r>
      <w:r>
        <w:rPr>
          <w:rStyle w:val="dn"/>
          <w:szCs w:val="24"/>
        </w:rPr>
        <w:t>ýkon moci soudní. Ministerstvo tedy neprovádí dohled při realizaci právní pomoci soudního exekutora nebo v případech dobrovoln</w:t>
      </w:r>
      <w:r>
        <w:rPr>
          <w:rStyle w:val="dn"/>
          <w:szCs w:val="24"/>
          <w:lang w:val="fr-FR"/>
        </w:rPr>
        <w:t xml:space="preserve">é </w:t>
      </w:r>
      <w:r>
        <w:rPr>
          <w:rStyle w:val="dn"/>
          <w:szCs w:val="24"/>
        </w:rPr>
        <w:t>dražby. I zde musí exekutor ministerstvu spravedlnosti s výkonem dohledu poskytnout požadovanou součinnost. V případě neposkytnutí t</w:t>
      </w:r>
      <w:r>
        <w:rPr>
          <w:rStyle w:val="dn"/>
          <w:szCs w:val="24"/>
          <w:lang w:val="fr-FR"/>
        </w:rPr>
        <w:t>é</w:t>
      </w:r>
      <w:r>
        <w:rPr>
          <w:rStyle w:val="dn"/>
          <w:szCs w:val="24"/>
        </w:rPr>
        <w:t>to součinnosti může být toto jednání posuzováno jako kárný delikt.</w:t>
      </w:r>
      <w:r>
        <w:rPr>
          <w:rStyle w:val="dn"/>
          <w:rFonts w:eastAsia="Times New Roman" w:cs="Times New Roman"/>
          <w:szCs w:val="24"/>
          <w:vertAlign w:val="superscript"/>
        </w:rPr>
        <w:footnoteReference w:id="115"/>
      </w:r>
      <w:r>
        <w:rPr>
          <w:rStyle w:val="dn"/>
          <w:szCs w:val="24"/>
        </w:rPr>
        <w:t xml:space="preserve"> </w:t>
      </w:r>
    </w:p>
    <w:p w:rsidR="009B70FF" w:rsidRDefault="009B70FF" w:rsidP="009B70FF">
      <w:pPr>
        <w:spacing w:line="240" w:lineRule="auto"/>
        <w:rPr>
          <w:rStyle w:val="dn"/>
          <w:szCs w:val="24"/>
        </w:rPr>
      </w:pPr>
      <w:r>
        <w:rPr>
          <w:rStyle w:val="dn"/>
          <w:szCs w:val="24"/>
        </w:rPr>
        <w:br w:type="page"/>
      </w:r>
    </w:p>
    <w:p w:rsidR="009B70FF" w:rsidRDefault="009B70FF" w:rsidP="007A2179">
      <w:pPr>
        <w:pStyle w:val="Nadpis2"/>
        <w:numPr>
          <w:ilvl w:val="1"/>
          <w:numId w:val="35"/>
        </w:numPr>
        <w:pBdr>
          <w:top w:val="nil"/>
          <w:left w:val="nil"/>
          <w:bottom w:val="nil"/>
          <w:right w:val="nil"/>
          <w:between w:val="nil"/>
          <w:bar w:val="nil"/>
        </w:pBdr>
        <w:spacing w:before="260" w:after="260" w:line="240" w:lineRule="auto"/>
        <w:ind w:left="709" w:hanging="709"/>
        <w:jc w:val="left"/>
        <w:rPr>
          <w:rFonts w:eastAsia="Times New Roman" w:cs="Times New Roman"/>
        </w:rPr>
      </w:pPr>
      <w:bookmarkStart w:id="91" w:name="_Toc30"/>
      <w:bookmarkStart w:id="92" w:name="_Toc18276745"/>
      <w:bookmarkStart w:id="93" w:name="_Toc18313965"/>
      <w:r>
        <w:rPr>
          <w:rStyle w:val="dn"/>
          <w:color w:val="000000"/>
          <w:u w:color="000000"/>
        </w:rPr>
        <w:t>Místní příslušnost soudních exekutorů</w:t>
      </w:r>
      <w:bookmarkEnd w:id="91"/>
      <w:bookmarkEnd w:id="92"/>
      <w:bookmarkEnd w:id="93"/>
    </w:p>
    <w:p w:rsidR="009B70FF" w:rsidRDefault="009B70FF" w:rsidP="009B70FF">
      <w:pPr>
        <w:ind w:firstLine="708"/>
        <w:rPr>
          <w:rStyle w:val="dn"/>
          <w:rFonts w:eastAsia="Times New Roman" w:cs="Times New Roman"/>
          <w:szCs w:val="24"/>
        </w:rPr>
      </w:pPr>
      <w:r>
        <w:rPr>
          <w:rStyle w:val="dn"/>
          <w:szCs w:val="24"/>
        </w:rPr>
        <w:t>T</w:t>
      </w:r>
      <w:r>
        <w:rPr>
          <w:rStyle w:val="dn"/>
          <w:szCs w:val="24"/>
          <w:lang w:val="fr-FR"/>
        </w:rPr>
        <w:t>é</w:t>
      </w:r>
      <w:r>
        <w:rPr>
          <w:rStyle w:val="dn"/>
          <w:szCs w:val="24"/>
        </w:rPr>
        <w:t>ma, jež dělí soudní exekutory a ostatně i celou exekutorskou komoru na dva tábory, je zavedení místní příslušnosti exekutorů. Místní příslušnost neboli teritorialita je princip, př</w:t>
      </w:r>
      <w:r>
        <w:rPr>
          <w:rStyle w:val="dn"/>
          <w:szCs w:val="24"/>
          <w:lang w:val="it-IT"/>
        </w:rPr>
        <w:t>i n</w:t>
      </w:r>
      <w:r>
        <w:rPr>
          <w:rStyle w:val="dn"/>
          <w:szCs w:val="24"/>
        </w:rPr>
        <w:t>ěmž by měl být exekutor přidělován povinn</w:t>
      </w:r>
      <w:r>
        <w:rPr>
          <w:rStyle w:val="dn"/>
          <w:szCs w:val="24"/>
          <w:lang w:val="fr-FR"/>
        </w:rPr>
        <w:t>é</w:t>
      </w:r>
      <w:r>
        <w:rPr>
          <w:rStyle w:val="dn"/>
          <w:szCs w:val="24"/>
        </w:rPr>
        <w:t>mu nezávislým soudem. Mělo by tomu být stejně jako u notářů č</w:t>
      </w:r>
      <w:r>
        <w:rPr>
          <w:rStyle w:val="dn"/>
          <w:szCs w:val="24"/>
          <w:lang w:val="it-IT"/>
        </w:rPr>
        <w:t>i insolven</w:t>
      </w:r>
      <w:r>
        <w:rPr>
          <w:rStyle w:val="dn"/>
          <w:szCs w:val="24"/>
        </w:rPr>
        <w:t>čních správců. Znamenalo by to, že na jednoho exekutora by připadal jeden povinný. Zároveň by platilo, že každý exekutor by měl vykonávat exekutorskou činnost v rámci sv</w:t>
      </w:r>
      <w:r>
        <w:rPr>
          <w:rStyle w:val="dn"/>
          <w:szCs w:val="24"/>
          <w:lang w:val="fr-FR"/>
        </w:rPr>
        <w:t>é</w:t>
      </w:r>
      <w:r>
        <w:rPr>
          <w:rStyle w:val="dn"/>
          <w:szCs w:val="24"/>
        </w:rPr>
        <w:t>ho kraje a pokud by byla zahájena nová exekuce u stejn</w:t>
      </w:r>
      <w:r>
        <w:rPr>
          <w:rStyle w:val="dn"/>
          <w:szCs w:val="24"/>
          <w:lang w:val="fr-FR"/>
        </w:rPr>
        <w:t>é</w:t>
      </w:r>
      <w:r>
        <w:rPr>
          <w:rStyle w:val="dn"/>
          <w:szCs w:val="24"/>
        </w:rPr>
        <w:t>ho povinn</w:t>
      </w:r>
      <w:r>
        <w:rPr>
          <w:rStyle w:val="dn"/>
          <w:szCs w:val="24"/>
          <w:lang w:val="fr-FR"/>
        </w:rPr>
        <w:t>é</w:t>
      </w:r>
      <w:r>
        <w:rPr>
          <w:rStyle w:val="dn"/>
          <w:szCs w:val="24"/>
        </w:rPr>
        <w:t>ho, byla by automaticky vykonávána exekutorem, který vedl předchozí řízení. Nutno připomenout, že teritorialitu mají soudci, státní zástupci, notář</w:t>
      </w:r>
      <w:r>
        <w:rPr>
          <w:rStyle w:val="dn"/>
          <w:szCs w:val="24"/>
          <w:lang w:val="it-IT"/>
        </w:rPr>
        <w:t>i, insolven</w:t>
      </w:r>
      <w:r>
        <w:rPr>
          <w:rStyle w:val="dn"/>
          <w:szCs w:val="24"/>
        </w:rPr>
        <w:t xml:space="preserve">ční </w:t>
      </w:r>
      <w:r>
        <w:rPr>
          <w:rStyle w:val="dn"/>
          <w:szCs w:val="24"/>
          <w:lang w:val="de-DE"/>
        </w:rPr>
        <w:t>spr</w:t>
      </w:r>
      <w:r>
        <w:rPr>
          <w:rStyle w:val="dn"/>
          <w:szCs w:val="24"/>
        </w:rPr>
        <w:t>ávci i policist</w:t>
      </w:r>
      <w:r>
        <w:rPr>
          <w:rStyle w:val="dn"/>
          <w:szCs w:val="24"/>
          <w:lang w:val="fr-FR"/>
        </w:rPr>
        <w:t>é</w:t>
      </w:r>
      <w:r>
        <w:rPr>
          <w:rStyle w:val="dn"/>
          <w:szCs w:val="24"/>
        </w:rPr>
        <w:t>. Krom exekutorů tedy vesměs většina právních profesí, na kter</w:t>
      </w:r>
      <w:r>
        <w:rPr>
          <w:rStyle w:val="dn"/>
          <w:szCs w:val="24"/>
          <w:lang w:val="fr-FR"/>
        </w:rPr>
        <w:t xml:space="preserve">é </w:t>
      </w:r>
      <w:r>
        <w:rPr>
          <w:rStyle w:val="dn"/>
          <w:szCs w:val="24"/>
        </w:rPr>
        <w:t>je převedena čá</w:t>
      </w:r>
      <w:r>
        <w:rPr>
          <w:rStyle w:val="dn"/>
          <w:szCs w:val="24"/>
          <w:lang w:val="da-DK"/>
        </w:rPr>
        <w:t>st st</w:t>
      </w:r>
      <w:r>
        <w:rPr>
          <w:rStyle w:val="dn"/>
          <w:szCs w:val="24"/>
        </w:rPr>
        <w:t>átní moci.</w:t>
      </w:r>
      <w:r>
        <w:rPr>
          <w:rStyle w:val="dn"/>
          <w:rFonts w:eastAsia="Times New Roman" w:cs="Times New Roman"/>
          <w:szCs w:val="24"/>
          <w:vertAlign w:val="superscript"/>
        </w:rPr>
        <w:footnoteReference w:id="116"/>
      </w:r>
    </w:p>
    <w:p w:rsidR="009B70FF" w:rsidRDefault="009B70FF" w:rsidP="009B70FF">
      <w:pPr>
        <w:ind w:firstLine="708"/>
        <w:rPr>
          <w:rStyle w:val="dn"/>
          <w:rFonts w:eastAsia="Times New Roman" w:cs="Times New Roman"/>
          <w:szCs w:val="24"/>
        </w:rPr>
      </w:pPr>
      <w:r>
        <w:rPr>
          <w:rStyle w:val="dn"/>
          <w:szCs w:val="24"/>
        </w:rPr>
        <w:t>V květnu 2014 se konal sněm exekutorsk</w:t>
      </w:r>
      <w:r>
        <w:rPr>
          <w:rStyle w:val="dn"/>
          <w:szCs w:val="24"/>
          <w:lang w:val="fr-FR"/>
        </w:rPr>
        <w:t xml:space="preserve">é </w:t>
      </w:r>
      <w:r>
        <w:rPr>
          <w:rStyle w:val="dn"/>
          <w:szCs w:val="24"/>
        </w:rPr>
        <w:t>komory, kde proběhlo hlasování o zavedení místní příslušnosti. Pro zavedení hlasovalo 85 soudních exekutorů z počtu přítomných 102. Toto hlasování navazovalo na předchozí anketu exekutorsk</w:t>
      </w:r>
      <w:r>
        <w:rPr>
          <w:rStyle w:val="dn"/>
          <w:szCs w:val="24"/>
          <w:lang w:val="fr-FR"/>
        </w:rPr>
        <w:t xml:space="preserve">é </w:t>
      </w:r>
      <w:r>
        <w:rPr>
          <w:rStyle w:val="dn"/>
          <w:szCs w:val="24"/>
        </w:rPr>
        <w:t>komory, která probíhala mezi exekutorskými úřady. V t</w:t>
      </w:r>
      <w:r>
        <w:rPr>
          <w:rStyle w:val="dn"/>
          <w:szCs w:val="24"/>
          <w:lang w:val="fr-FR"/>
        </w:rPr>
        <w:t>é</w:t>
      </w:r>
      <w:r>
        <w:rPr>
          <w:rStyle w:val="dn"/>
          <w:szCs w:val="24"/>
          <w:lang w:val="en-US"/>
        </w:rPr>
        <w:t>to anket</w:t>
      </w:r>
      <w:r>
        <w:rPr>
          <w:rStyle w:val="dn"/>
          <w:szCs w:val="24"/>
        </w:rPr>
        <w:t>ě vyslovilo 57 % dotazovaných souhlas se zavedení</w:t>
      </w:r>
      <w:r>
        <w:rPr>
          <w:rStyle w:val="dn"/>
          <w:szCs w:val="24"/>
          <w:lang w:val="pt-PT"/>
        </w:rPr>
        <w:t>m teritoriality.</w:t>
      </w:r>
      <w:r>
        <w:rPr>
          <w:rStyle w:val="dn"/>
          <w:rFonts w:eastAsia="Times New Roman" w:cs="Times New Roman"/>
          <w:szCs w:val="24"/>
          <w:vertAlign w:val="superscript"/>
        </w:rPr>
        <w:footnoteReference w:id="117"/>
      </w:r>
    </w:p>
    <w:p w:rsidR="009B70FF" w:rsidRDefault="009B70FF" w:rsidP="009B70FF">
      <w:pPr>
        <w:ind w:firstLine="708"/>
        <w:rPr>
          <w:rStyle w:val="dn"/>
          <w:rFonts w:eastAsia="Times New Roman" w:cs="Times New Roman"/>
          <w:szCs w:val="24"/>
        </w:rPr>
      </w:pPr>
      <w:r>
        <w:rPr>
          <w:rStyle w:val="dn"/>
          <w:szCs w:val="24"/>
          <w:lang w:val="de-DE"/>
        </w:rPr>
        <w:t>Moment</w:t>
      </w:r>
      <w:r>
        <w:rPr>
          <w:rStyle w:val="dn"/>
          <w:szCs w:val="24"/>
        </w:rPr>
        <w:t xml:space="preserve">álně platí, že soudního exekutora si každý </w:t>
      </w:r>
      <w:r>
        <w:rPr>
          <w:rStyle w:val="dn"/>
          <w:szCs w:val="24"/>
          <w:lang w:val="it-IT"/>
        </w:rPr>
        <w:t>opr</w:t>
      </w:r>
      <w:r>
        <w:rPr>
          <w:rStyle w:val="dn"/>
          <w:szCs w:val="24"/>
        </w:rPr>
        <w:t xml:space="preserve">ávněný může vybrat. Znamená </w:t>
      </w:r>
      <w:r>
        <w:rPr>
          <w:rStyle w:val="dn"/>
          <w:szCs w:val="24"/>
          <w:lang w:val="it-IT"/>
        </w:rPr>
        <w:t xml:space="preserve">to, </w:t>
      </w:r>
      <w:r>
        <w:rPr>
          <w:rStyle w:val="dn"/>
          <w:szCs w:val="24"/>
        </w:rPr>
        <w:t>že i pokud je oprávněný z Chebu, vymáhání pohledávky může provádět soudní exekutor sídlící v Ostravě. Česká republika je jedna z mála evropských zemí, která ještě nemá zavedenou teritorialitu soudních exekutorů. Vedle ČR je to tak</w:t>
      </w:r>
      <w:r>
        <w:rPr>
          <w:rStyle w:val="dn"/>
          <w:szCs w:val="24"/>
          <w:lang w:val="fr-FR"/>
        </w:rPr>
        <w:t xml:space="preserve">é </w:t>
      </w:r>
      <w:r>
        <w:rPr>
          <w:rStyle w:val="dn"/>
          <w:szCs w:val="24"/>
        </w:rPr>
        <w:t>Albánie a Nizozemsko, až na správní obvody Saba, Bonaire a Svatý Eustach. Donedávna mezi ně patřilo i Slovensko. To se však po nedávn</w:t>
      </w:r>
      <w:r>
        <w:rPr>
          <w:rStyle w:val="dn"/>
          <w:szCs w:val="24"/>
          <w:lang w:val="fr-FR"/>
        </w:rPr>
        <w:t xml:space="preserve">é </w:t>
      </w:r>
      <w:r>
        <w:rPr>
          <w:rStyle w:val="dn"/>
          <w:szCs w:val="24"/>
        </w:rPr>
        <w:t>novelizaci Exekučneho poriadku změnilo. Zavedení místní příslušnosti na Slovensku je inspirací pro ČR, jak komentovala situaci Pavla Fučíková, bývalá prezidentka Exekutorsk</w:t>
      </w:r>
      <w:r>
        <w:rPr>
          <w:rStyle w:val="dn"/>
          <w:szCs w:val="24"/>
          <w:lang w:val="fr-FR"/>
        </w:rPr>
        <w:t xml:space="preserve">é </w:t>
      </w:r>
      <w:r>
        <w:rPr>
          <w:rStyle w:val="dn"/>
          <w:szCs w:val="24"/>
        </w:rPr>
        <w:t>komory. Právě ona navrhla novelu, která by u nás zavedla místní příslušnost.</w:t>
      </w:r>
      <w:r>
        <w:rPr>
          <w:rStyle w:val="dn"/>
          <w:rFonts w:eastAsia="Times New Roman" w:cs="Times New Roman"/>
          <w:szCs w:val="24"/>
          <w:vertAlign w:val="superscript"/>
        </w:rPr>
        <w:footnoteReference w:id="118"/>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Díky rozdílným názorům se exekutoři rozdělili na dvě skupiny, jež stojí proti sobě, a to platformu za teritorialitu soudních exekutorů a Exekutory proti teritorialitě. Pro zavedení místní příslušnosti jsou především menší exekutorské úřady, kterých je v ČR velká většina. Podle soudních exekutorů, jež prosazují platformu za teritorialitu je současný trh s pohledávkami velmi korupčním prostředím a exekutor tak nemůže být nestranný a nezávislý. Zároveň místní příslušnost prosazují z důvodu zajištění blízkosti a dostupnosti exekutorsk</w:t>
      </w:r>
      <w:r>
        <w:rPr>
          <w:rStyle w:val="dn"/>
          <w:szCs w:val="24"/>
          <w:lang w:val="fr-FR"/>
        </w:rPr>
        <w:t>é</w:t>
      </w:r>
      <w:r>
        <w:rPr>
          <w:rStyle w:val="dn"/>
          <w:szCs w:val="24"/>
        </w:rPr>
        <w:t>ho úřadu všem účastníkům řízení. Naopak proti zavedení teritoriality je malý, nicm</w:t>
      </w:r>
      <w:r>
        <w:rPr>
          <w:rStyle w:val="dn"/>
          <w:szCs w:val="24"/>
          <w:lang w:val="fr-FR"/>
        </w:rPr>
        <w:t>é</w:t>
      </w:r>
      <w:r>
        <w:rPr>
          <w:rStyle w:val="dn"/>
          <w:szCs w:val="24"/>
        </w:rPr>
        <w:t>ně silný počet soudních exekutorů s velkými exekutorskými úřady. Jedním z nich je exekutorský úřad Praha 6, Mgr. Zuzany Sobíškov</w:t>
      </w:r>
      <w:r>
        <w:rPr>
          <w:rStyle w:val="dn"/>
          <w:szCs w:val="24"/>
          <w:lang w:val="fr-FR"/>
        </w:rPr>
        <w:t>é</w:t>
      </w:r>
      <w:r>
        <w:rPr>
          <w:rStyle w:val="dn"/>
          <w:szCs w:val="24"/>
        </w:rPr>
        <w:t xml:space="preserve">, která </w:t>
      </w:r>
      <w:r>
        <w:rPr>
          <w:rStyle w:val="dn"/>
          <w:szCs w:val="24"/>
          <w:lang w:val="it-IT"/>
        </w:rPr>
        <w:t xml:space="preserve">tento </w:t>
      </w:r>
      <w:r>
        <w:rPr>
          <w:rStyle w:val="dn"/>
          <w:szCs w:val="24"/>
        </w:rPr>
        <w:t>úřad doslova zdědila po JUDr. Janu Grosamovi, jenž jej vybudoval.</w:t>
      </w:r>
      <w:r>
        <w:rPr>
          <w:rStyle w:val="dn"/>
          <w:rFonts w:eastAsia="Times New Roman" w:cs="Times New Roman"/>
          <w:szCs w:val="24"/>
          <w:vertAlign w:val="superscript"/>
        </w:rPr>
        <w:footnoteReference w:id="119"/>
      </w:r>
      <w:r>
        <w:rPr>
          <w:rStyle w:val="dn"/>
          <w:szCs w:val="24"/>
        </w:rPr>
        <w:t xml:space="preserve"> </w:t>
      </w:r>
    </w:p>
    <w:p w:rsidR="009B70FF" w:rsidRDefault="009B70FF" w:rsidP="007A2179">
      <w:pPr>
        <w:pStyle w:val="Nadpis3"/>
        <w:numPr>
          <w:ilvl w:val="2"/>
          <w:numId w:val="35"/>
        </w:numPr>
        <w:pBdr>
          <w:top w:val="nil"/>
          <w:left w:val="nil"/>
          <w:bottom w:val="nil"/>
          <w:right w:val="nil"/>
          <w:between w:val="nil"/>
          <w:bar w:val="nil"/>
        </w:pBdr>
        <w:spacing w:before="200" w:line="276" w:lineRule="auto"/>
        <w:jc w:val="left"/>
        <w:rPr>
          <w:rFonts w:eastAsia="Times New Roman" w:cs="Times New Roman"/>
          <w:color w:val="000000"/>
          <w:szCs w:val="24"/>
        </w:rPr>
      </w:pPr>
      <w:bookmarkStart w:id="94" w:name="_Toc18276746"/>
      <w:bookmarkStart w:id="95" w:name="_Toc18313966"/>
      <w:bookmarkStart w:id="96" w:name="_Toc31"/>
      <w:r>
        <w:rPr>
          <w:rStyle w:val="dn"/>
          <w:color w:val="000000"/>
          <w:szCs w:val="24"/>
          <w:u w:color="000000"/>
        </w:rPr>
        <w:t>Argumenty pro zavedení místní příslušnosti</w:t>
      </w:r>
      <w:bookmarkEnd w:id="94"/>
      <w:bookmarkEnd w:id="95"/>
      <w:r>
        <w:rPr>
          <w:rStyle w:val="dn"/>
          <w:color w:val="000000"/>
          <w:szCs w:val="24"/>
          <w:u w:color="000000"/>
        </w:rPr>
        <w:t xml:space="preserve"> </w:t>
      </w:r>
      <w:bookmarkEnd w:id="96"/>
    </w:p>
    <w:p w:rsidR="009B70FF" w:rsidRDefault="009B70FF" w:rsidP="009B70FF">
      <w:pPr>
        <w:rPr>
          <w:rStyle w:val="dn"/>
          <w:rFonts w:eastAsia="Times New Roman" w:cs="Times New Roman"/>
          <w:szCs w:val="24"/>
        </w:rPr>
      </w:pPr>
      <w:r>
        <w:rPr>
          <w:rStyle w:val="dn"/>
          <w:szCs w:val="24"/>
        </w:rPr>
        <w:t>Jedním z hlavní</w:t>
      </w:r>
      <w:r>
        <w:rPr>
          <w:rStyle w:val="dn"/>
          <w:szCs w:val="24"/>
          <w:lang w:val="en-US"/>
        </w:rPr>
        <w:t>ch argument</w:t>
      </w:r>
      <w:r>
        <w:rPr>
          <w:rStyle w:val="dn"/>
          <w:szCs w:val="24"/>
        </w:rPr>
        <w:t>ů podporujících zavedení místní příslušnosti má být zajištění rovnoměrn</w:t>
      </w:r>
      <w:r>
        <w:rPr>
          <w:rStyle w:val="dn"/>
          <w:szCs w:val="24"/>
          <w:lang w:val="fr-FR"/>
        </w:rPr>
        <w:t>é</w:t>
      </w:r>
      <w:r>
        <w:rPr>
          <w:rStyle w:val="dn"/>
          <w:szCs w:val="24"/>
        </w:rPr>
        <w:t>ho rozložení výkonu exekucí mezi jednotliv</w:t>
      </w:r>
      <w:r>
        <w:rPr>
          <w:rStyle w:val="dn"/>
          <w:szCs w:val="24"/>
          <w:lang w:val="fr-FR"/>
        </w:rPr>
        <w:t xml:space="preserve">é </w:t>
      </w:r>
      <w:r>
        <w:rPr>
          <w:rStyle w:val="dn"/>
          <w:szCs w:val="24"/>
        </w:rPr>
        <w:t>soudní exekutory. Tímto se exekutoři vyhnou vzájemn</w:t>
      </w:r>
      <w:r>
        <w:rPr>
          <w:rStyle w:val="dn"/>
          <w:szCs w:val="24"/>
          <w:lang w:val="fr-FR"/>
        </w:rPr>
        <w:t>é</w:t>
      </w:r>
      <w:r>
        <w:rPr>
          <w:rStyle w:val="dn"/>
          <w:szCs w:val="24"/>
        </w:rPr>
        <w:t>mu konkurenčnímu boji o exekuce a budou se moci soustředit na efektivní a řádný vý</w:t>
      </w:r>
      <w:r>
        <w:rPr>
          <w:rStyle w:val="dn"/>
          <w:szCs w:val="24"/>
          <w:lang w:val="en-US"/>
        </w:rPr>
        <w:t>kon exeku</w:t>
      </w:r>
      <w:r>
        <w:rPr>
          <w:rStyle w:val="dn"/>
          <w:szCs w:val="24"/>
        </w:rPr>
        <w:t>ční činnosti. Zavedením místní příslušnosti by se zlepšila hospodárnost cel</w:t>
      </w:r>
      <w:r>
        <w:rPr>
          <w:rStyle w:val="dn"/>
          <w:szCs w:val="24"/>
          <w:lang w:val="fr-FR"/>
        </w:rPr>
        <w:t>é</w:t>
      </w:r>
      <w:r>
        <w:rPr>
          <w:rStyle w:val="dn"/>
          <w:szCs w:val="24"/>
          <w:lang w:val="pt-PT"/>
        </w:rPr>
        <w:t>ho exeku</w:t>
      </w:r>
      <w:r>
        <w:rPr>
          <w:rStyle w:val="dn"/>
          <w:szCs w:val="24"/>
        </w:rPr>
        <w:t>čního řízení. Snížily by se tak vešker</w:t>
      </w:r>
      <w:r>
        <w:rPr>
          <w:rStyle w:val="dn"/>
          <w:szCs w:val="24"/>
          <w:lang w:val="fr-FR"/>
        </w:rPr>
        <w:t xml:space="preserve">é </w:t>
      </w:r>
      <w:r>
        <w:rPr>
          <w:rStyle w:val="dn"/>
          <w:szCs w:val="24"/>
        </w:rPr>
        <w:t>náklady, a to jak u oprávněných a povinných, ale i u soudních exekutorů.</w:t>
      </w:r>
      <w:r>
        <w:rPr>
          <w:rStyle w:val="dn"/>
          <w:rFonts w:eastAsia="Times New Roman" w:cs="Times New Roman"/>
          <w:szCs w:val="24"/>
          <w:vertAlign w:val="superscript"/>
        </w:rPr>
        <w:footnoteReference w:id="120"/>
      </w:r>
    </w:p>
    <w:p w:rsidR="009B70FF" w:rsidRDefault="009B70FF" w:rsidP="009B70FF">
      <w:pPr>
        <w:rPr>
          <w:rStyle w:val="dn"/>
          <w:rFonts w:eastAsia="Times New Roman" w:cs="Times New Roman"/>
          <w:szCs w:val="24"/>
        </w:rPr>
      </w:pPr>
      <w:r>
        <w:rPr>
          <w:rStyle w:val="dn"/>
          <w:szCs w:val="24"/>
        </w:rPr>
        <w:t>Teritorialita by měla odstranit klientsk</w:t>
      </w:r>
      <w:r>
        <w:rPr>
          <w:rStyle w:val="dn"/>
          <w:szCs w:val="24"/>
          <w:lang w:val="fr-FR"/>
        </w:rPr>
        <w:t xml:space="preserve">é </w:t>
      </w:r>
      <w:r>
        <w:rPr>
          <w:rStyle w:val="dn"/>
          <w:szCs w:val="24"/>
        </w:rPr>
        <w:t>vazby a př</w:t>
      </w:r>
      <w:r>
        <w:rPr>
          <w:rStyle w:val="dn"/>
          <w:szCs w:val="24"/>
          <w:lang w:val="de-DE"/>
        </w:rPr>
        <w:t>eru</w:t>
      </w:r>
      <w:r>
        <w:rPr>
          <w:rStyle w:val="dn"/>
          <w:szCs w:val="24"/>
        </w:rPr>
        <w:t>šit obchod s dluhy. Zároveň by měla nastavit nestrannost, nezávislost a spravedlnost exekutorů, tak jak požaduje Ústava. Zavedením teritoriality by se měl odstranit klientelismus, který vládne při zadávání „</w:t>
      </w:r>
      <w:r>
        <w:rPr>
          <w:rStyle w:val="dn"/>
          <w:szCs w:val="24"/>
          <w:lang w:val="pt-PT"/>
        </w:rPr>
        <w:t>exeku</w:t>
      </w:r>
      <w:r>
        <w:rPr>
          <w:rStyle w:val="dn"/>
          <w:szCs w:val="24"/>
        </w:rPr>
        <w:t>čních zakázek“. Mělo by bý</w:t>
      </w:r>
      <w:r>
        <w:rPr>
          <w:rStyle w:val="dn"/>
          <w:szCs w:val="24"/>
          <w:lang w:val="en-US"/>
        </w:rPr>
        <w:t>t tak</w:t>
      </w:r>
      <w:r>
        <w:rPr>
          <w:rStyle w:val="dn"/>
          <w:szCs w:val="24"/>
          <w:lang w:val="fr-FR"/>
        </w:rPr>
        <w:t xml:space="preserve">é </w:t>
      </w:r>
      <w:r>
        <w:rPr>
          <w:rStyle w:val="dn"/>
          <w:szCs w:val="24"/>
        </w:rPr>
        <w:t>dosaženo rovn</w:t>
      </w:r>
      <w:r>
        <w:rPr>
          <w:rStyle w:val="dn"/>
          <w:szCs w:val="24"/>
          <w:lang w:val="fr-FR"/>
        </w:rPr>
        <w:t>é</w:t>
      </w:r>
      <w:r>
        <w:rPr>
          <w:rStyle w:val="dn"/>
          <w:szCs w:val="24"/>
        </w:rPr>
        <w:t xml:space="preserve">ho postavení účastníků </w:t>
      </w:r>
      <w:r>
        <w:rPr>
          <w:rStyle w:val="dn"/>
          <w:szCs w:val="24"/>
          <w:lang w:val="pt-PT"/>
        </w:rPr>
        <w:t>exeku</w:t>
      </w:r>
      <w:r>
        <w:rPr>
          <w:rStyle w:val="dn"/>
          <w:szCs w:val="24"/>
        </w:rPr>
        <w:t>čního řízení, kter</w:t>
      </w:r>
      <w:r>
        <w:rPr>
          <w:rStyle w:val="dn"/>
          <w:szCs w:val="24"/>
          <w:lang w:val="fr-FR"/>
        </w:rPr>
        <w:t xml:space="preserve">é </w:t>
      </w:r>
      <w:r>
        <w:rPr>
          <w:rStyle w:val="dn"/>
          <w:szCs w:val="24"/>
        </w:rPr>
        <w:t>je zakotveno v </w:t>
      </w:r>
      <w:r>
        <w:rPr>
          <w:rStyle w:val="dn"/>
          <w:szCs w:val="24"/>
          <w:lang w:val="pt-PT"/>
        </w:rPr>
        <w:t>Listin</w:t>
      </w:r>
      <w:r>
        <w:rPr>
          <w:rStyle w:val="dn"/>
          <w:szCs w:val="24"/>
        </w:rPr>
        <w:t>ě základních práv a svobod. Dalším argumentem pro zavedení teritoriality je odstranění výrazn</w:t>
      </w:r>
      <w:r>
        <w:rPr>
          <w:rStyle w:val="dn"/>
          <w:szCs w:val="24"/>
          <w:lang w:val="fr-FR"/>
        </w:rPr>
        <w:t xml:space="preserve">é </w:t>
      </w:r>
      <w:r>
        <w:rPr>
          <w:rStyle w:val="dn"/>
          <w:szCs w:val="24"/>
        </w:rPr>
        <w:t>bari</w:t>
      </w:r>
      <w:r>
        <w:rPr>
          <w:rStyle w:val="dn"/>
          <w:szCs w:val="24"/>
          <w:lang w:val="fr-FR"/>
        </w:rPr>
        <w:t>é</w:t>
      </w:r>
      <w:r>
        <w:rPr>
          <w:rStyle w:val="dn"/>
          <w:szCs w:val="24"/>
        </w:rPr>
        <w:t>ry zaměstnávání osob, kter</w:t>
      </w:r>
      <w:r>
        <w:rPr>
          <w:rStyle w:val="dn"/>
          <w:szCs w:val="24"/>
          <w:lang w:val="fr-FR"/>
        </w:rPr>
        <w:t xml:space="preserve">é </w:t>
      </w:r>
      <w:r>
        <w:rPr>
          <w:rStyle w:val="dn"/>
          <w:szCs w:val="24"/>
        </w:rPr>
        <w:t>mají vícečetn</w:t>
      </w:r>
      <w:r>
        <w:rPr>
          <w:rStyle w:val="dn"/>
          <w:szCs w:val="24"/>
          <w:lang w:val="fr-FR"/>
        </w:rPr>
        <w:t xml:space="preserve">é </w:t>
      </w:r>
      <w:r>
        <w:rPr>
          <w:rStyle w:val="dn"/>
          <w:szCs w:val="24"/>
        </w:rPr>
        <w:t>exekuce. Tímto by se usnadnil jejich návrat na trh práce. Zvýšila by se efektivita dluhov</w:t>
      </w:r>
      <w:r>
        <w:rPr>
          <w:rStyle w:val="dn"/>
          <w:szCs w:val="24"/>
          <w:lang w:val="fr-FR"/>
        </w:rPr>
        <w:t>é</w:t>
      </w:r>
      <w:r>
        <w:rPr>
          <w:rStyle w:val="dn"/>
          <w:szCs w:val="24"/>
        </w:rPr>
        <w:t>ho poradenství a zároveň i šance na včasné řešení probl</w:t>
      </w:r>
      <w:r>
        <w:rPr>
          <w:rStyle w:val="dn"/>
          <w:szCs w:val="24"/>
          <w:lang w:val="fr-FR"/>
        </w:rPr>
        <w:t>é</w:t>
      </w:r>
      <w:r>
        <w:rPr>
          <w:rStyle w:val="dn"/>
          <w:szCs w:val="24"/>
        </w:rPr>
        <w:t>mů.</w:t>
      </w:r>
      <w:r>
        <w:rPr>
          <w:rStyle w:val="dn"/>
          <w:rFonts w:eastAsia="Times New Roman" w:cs="Times New Roman"/>
          <w:szCs w:val="24"/>
          <w:vertAlign w:val="superscript"/>
        </w:rPr>
        <w:footnoteReference w:id="121"/>
      </w:r>
    </w:p>
    <w:p w:rsidR="009B70FF" w:rsidRDefault="009B70FF" w:rsidP="009B70FF">
      <w:pPr>
        <w:ind w:firstLine="708"/>
        <w:rPr>
          <w:rStyle w:val="dn"/>
          <w:rFonts w:eastAsia="Times New Roman" w:cs="Times New Roman"/>
          <w:szCs w:val="24"/>
        </w:rPr>
      </w:pPr>
      <w:r>
        <w:rPr>
          <w:rStyle w:val="dn"/>
          <w:szCs w:val="24"/>
        </w:rPr>
        <w:t xml:space="preserve"> Jednou z velkých nevýhod výkonu exekuce po celé ČR je časová náročnost. Exekutor totiž stráví spoustu času cestami do místa výkonu, mí</w:t>
      </w:r>
      <w:r>
        <w:rPr>
          <w:rStyle w:val="dn"/>
          <w:szCs w:val="24"/>
          <w:lang w:val="it-IT"/>
        </w:rPr>
        <w:t xml:space="preserve">sto </w:t>
      </w:r>
      <w:r>
        <w:rPr>
          <w:rStyle w:val="dn"/>
          <w:szCs w:val="24"/>
        </w:rPr>
        <w:t>času stráven</w:t>
      </w:r>
      <w:r>
        <w:rPr>
          <w:rStyle w:val="dn"/>
          <w:szCs w:val="24"/>
          <w:lang w:val="fr-FR"/>
        </w:rPr>
        <w:t>é</w:t>
      </w:r>
      <w:r>
        <w:rPr>
          <w:rStyle w:val="dn"/>
          <w:szCs w:val="24"/>
        </w:rPr>
        <w:t>ho efektivnější prací. Exekutor pak musí platit cestovní výdaje a hradí amortizaci vozidla, kter</w:t>
      </w:r>
      <w:r>
        <w:rPr>
          <w:rStyle w:val="dn"/>
          <w:szCs w:val="24"/>
          <w:lang w:val="fr-FR"/>
        </w:rPr>
        <w:t>é pou</w:t>
      </w:r>
      <w:r>
        <w:rPr>
          <w:rStyle w:val="dn"/>
          <w:szCs w:val="24"/>
        </w:rPr>
        <w:t>žívá k pracovním cestám. Zároveň vzniká povinnost povinn</w:t>
      </w:r>
      <w:r>
        <w:rPr>
          <w:rStyle w:val="dn"/>
          <w:szCs w:val="24"/>
          <w:lang w:val="fr-FR"/>
        </w:rPr>
        <w:t>é</w:t>
      </w:r>
      <w:r>
        <w:rPr>
          <w:rStyle w:val="dn"/>
          <w:szCs w:val="24"/>
        </w:rPr>
        <w:t>mu uhradit exekutorovi náklady spojen</w:t>
      </w:r>
      <w:r>
        <w:rPr>
          <w:rStyle w:val="dn"/>
          <w:szCs w:val="24"/>
          <w:lang w:val="fr-FR"/>
        </w:rPr>
        <w:t xml:space="preserve">é </w:t>
      </w:r>
      <w:r>
        <w:rPr>
          <w:rStyle w:val="dn"/>
          <w:szCs w:val="24"/>
        </w:rPr>
        <w:t>s cestování</w:t>
      </w:r>
      <w:r>
        <w:rPr>
          <w:rStyle w:val="dn"/>
          <w:szCs w:val="24"/>
          <w:lang w:val="pt-PT"/>
        </w:rPr>
        <w:t>m a s</w:t>
      </w:r>
      <w:r>
        <w:rPr>
          <w:rStyle w:val="dn"/>
          <w:szCs w:val="24"/>
        </w:rPr>
        <w:t> tím spojenou ztrá</w:t>
      </w:r>
      <w:r>
        <w:rPr>
          <w:rStyle w:val="dn"/>
          <w:szCs w:val="24"/>
          <w:lang w:val="pt-PT"/>
        </w:rPr>
        <w:t xml:space="preserve">tou </w:t>
      </w:r>
      <w:r>
        <w:rPr>
          <w:rStyle w:val="dn"/>
          <w:szCs w:val="24"/>
        </w:rPr>
        <w:t>času. Vzdálenost je navíc omezující, jak pro oprávněn</w:t>
      </w:r>
      <w:r>
        <w:rPr>
          <w:rStyle w:val="dn"/>
          <w:szCs w:val="24"/>
          <w:lang w:val="fr-FR"/>
        </w:rPr>
        <w:t>é</w:t>
      </w:r>
      <w:r>
        <w:rPr>
          <w:rStyle w:val="dn"/>
          <w:szCs w:val="24"/>
        </w:rPr>
        <w:t>ho, tak povinn</w:t>
      </w:r>
      <w:r>
        <w:rPr>
          <w:rStyle w:val="dn"/>
          <w:szCs w:val="24"/>
          <w:lang w:val="fr-FR"/>
        </w:rPr>
        <w:t>é</w:t>
      </w:r>
      <w:r>
        <w:rPr>
          <w:rStyle w:val="dn"/>
          <w:szCs w:val="24"/>
        </w:rPr>
        <w:t>ho. Zamezuje tak kontaktu s exekutorem. Jestliže exekutor vykonává exekuce s působností po celé Č</w:t>
      </w:r>
      <w:r>
        <w:rPr>
          <w:rStyle w:val="dn"/>
          <w:szCs w:val="24"/>
          <w:lang w:val="de-DE"/>
        </w:rPr>
        <w:t>R, sni</w:t>
      </w:r>
      <w:r>
        <w:rPr>
          <w:rStyle w:val="dn"/>
          <w:szCs w:val="24"/>
        </w:rPr>
        <w:t>žuje se tak reálná možnost účasti povinn</w:t>
      </w:r>
      <w:r>
        <w:rPr>
          <w:rStyle w:val="dn"/>
          <w:szCs w:val="24"/>
          <w:lang w:val="fr-FR"/>
        </w:rPr>
        <w:t>é</w:t>
      </w:r>
      <w:r>
        <w:rPr>
          <w:rStyle w:val="dn"/>
          <w:szCs w:val="24"/>
        </w:rPr>
        <w:t xml:space="preserve">ho na řízení Jedná </w:t>
      </w:r>
      <w:r>
        <w:rPr>
          <w:rStyle w:val="dn"/>
          <w:szCs w:val="24"/>
          <w:lang w:val="pt-PT"/>
        </w:rPr>
        <w:t>se o b</w:t>
      </w:r>
      <w:r>
        <w:rPr>
          <w:rStyle w:val="dn"/>
          <w:szCs w:val="24"/>
        </w:rPr>
        <w:t>ěžn</w:t>
      </w:r>
      <w:r>
        <w:rPr>
          <w:rStyle w:val="dn"/>
          <w:szCs w:val="24"/>
          <w:lang w:val="fr-FR"/>
        </w:rPr>
        <w:t xml:space="preserve">é </w:t>
      </w:r>
      <w:r>
        <w:rPr>
          <w:rStyle w:val="dn"/>
          <w:szCs w:val="24"/>
        </w:rPr>
        <w:t>povinn</w:t>
      </w:r>
      <w:r>
        <w:rPr>
          <w:rStyle w:val="dn"/>
          <w:szCs w:val="24"/>
          <w:lang w:val="fr-FR"/>
        </w:rPr>
        <w:t>é</w:t>
      </w:r>
      <w:r>
        <w:rPr>
          <w:rStyle w:val="dn"/>
          <w:szCs w:val="24"/>
        </w:rPr>
        <w:t>, kteří často ani nedisponují telekomunikačními prostředky a musí tudíž mnohdy cestovat přes celou republiku, aby mohli nahl</w:t>
      </w:r>
      <w:r>
        <w:rPr>
          <w:rStyle w:val="dn"/>
          <w:szCs w:val="24"/>
          <w:lang w:val="fr-FR"/>
        </w:rPr>
        <w:t>é</w:t>
      </w:r>
      <w:r>
        <w:rPr>
          <w:rStyle w:val="dn"/>
          <w:szCs w:val="24"/>
        </w:rPr>
        <w:t>dnout do sv</w:t>
      </w:r>
      <w:r>
        <w:rPr>
          <w:rStyle w:val="dn"/>
          <w:szCs w:val="24"/>
          <w:lang w:val="fr-FR"/>
        </w:rPr>
        <w:t>é</w:t>
      </w:r>
      <w:r>
        <w:rPr>
          <w:rStyle w:val="dn"/>
          <w:szCs w:val="24"/>
        </w:rPr>
        <w:t>ho spisu, dohodli se na způsobu plnění č</w:t>
      </w:r>
      <w:r>
        <w:rPr>
          <w:rStyle w:val="dn"/>
          <w:szCs w:val="24"/>
          <w:lang w:val="it-IT"/>
        </w:rPr>
        <w:t>i spl</w:t>
      </w:r>
      <w:r>
        <w:rPr>
          <w:rStyle w:val="dn"/>
          <w:szCs w:val="24"/>
        </w:rPr>
        <w:t>átkách, nebo do protokolu podali opravný prostředek. Tyto náklady, spojen</w:t>
      </w:r>
      <w:r>
        <w:rPr>
          <w:rStyle w:val="dn"/>
          <w:szCs w:val="24"/>
          <w:lang w:val="fr-FR"/>
        </w:rPr>
        <w:t xml:space="preserve">é </w:t>
      </w:r>
      <w:r>
        <w:rPr>
          <w:rStyle w:val="dn"/>
          <w:szCs w:val="24"/>
        </w:rPr>
        <w:t>s cestování, jsou mnohdy vyšší, než samotná pohledávka. Zavedením místní příslušnosti by se tudíž zlepšila přístupnost povinn</w:t>
      </w:r>
      <w:r>
        <w:rPr>
          <w:rStyle w:val="dn"/>
          <w:szCs w:val="24"/>
          <w:lang w:val="fr-FR"/>
        </w:rPr>
        <w:t>é</w:t>
      </w:r>
      <w:r>
        <w:rPr>
          <w:rStyle w:val="dn"/>
          <w:szCs w:val="24"/>
        </w:rPr>
        <w:t>ho k exekutorovi a naopak. Zároveň by exekutor měl lepší přehled a znalost svých povinných a jejich poměrů. Tím, že se některým exekutorů</w:t>
      </w:r>
      <w:r>
        <w:rPr>
          <w:rStyle w:val="dn"/>
          <w:szCs w:val="24"/>
          <w:lang w:val="nl-NL"/>
        </w:rPr>
        <w:t>m sn</w:t>
      </w:r>
      <w:r>
        <w:rPr>
          <w:rStyle w:val="dn"/>
          <w:szCs w:val="24"/>
        </w:rPr>
        <w:t>íží počet vymáhaných pohledávek, a dojde k rovnocenn</w:t>
      </w:r>
      <w:r>
        <w:rPr>
          <w:rStyle w:val="dn"/>
          <w:szCs w:val="24"/>
          <w:lang w:val="fr-FR"/>
        </w:rPr>
        <w:t>é</w:t>
      </w:r>
      <w:r>
        <w:rPr>
          <w:rStyle w:val="dn"/>
          <w:szCs w:val="24"/>
        </w:rPr>
        <w:t>mu rozdělení exekucí, budou mít soudní exekutoři ke každ</w:t>
      </w:r>
      <w:r>
        <w:rPr>
          <w:rStyle w:val="dn"/>
          <w:szCs w:val="24"/>
          <w:lang w:val="fr-FR"/>
        </w:rPr>
        <w:t>é</w:t>
      </w:r>
      <w:r>
        <w:rPr>
          <w:rStyle w:val="dn"/>
          <w:szCs w:val="24"/>
        </w:rPr>
        <w:t>mu případu osobnější vztah a nebudou brát vymáhání exekucí jako na běžící</w:t>
      </w:r>
      <w:r>
        <w:rPr>
          <w:rStyle w:val="dn"/>
          <w:szCs w:val="24"/>
          <w:lang w:val="pt-PT"/>
        </w:rPr>
        <w:t>m p</w:t>
      </w:r>
      <w:r>
        <w:rPr>
          <w:rStyle w:val="dn"/>
          <w:szCs w:val="24"/>
        </w:rPr>
        <w:t>á</w:t>
      </w:r>
      <w:r>
        <w:rPr>
          <w:rStyle w:val="dn"/>
          <w:szCs w:val="24"/>
          <w:lang w:val="it-IT"/>
        </w:rPr>
        <w:t>se.</w:t>
      </w:r>
      <w:r>
        <w:rPr>
          <w:rStyle w:val="dn"/>
          <w:rFonts w:eastAsia="Times New Roman" w:cs="Times New Roman"/>
          <w:szCs w:val="24"/>
          <w:vertAlign w:val="superscript"/>
        </w:rPr>
        <w:footnoteReference w:id="122"/>
      </w:r>
    </w:p>
    <w:p w:rsidR="009B70FF" w:rsidRDefault="009B70FF" w:rsidP="009B70FF">
      <w:pPr>
        <w:ind w:firstLine="708"/>
        <w:rPr>
          <w:rStyle w:val="dn"/>
          <w:rFonts w:eastAsia="Times New Roman" w:cs="Times New Roman"/>
          <w:szCs w:val="24"/>
        </w:rPr>
      </w:pPr>
      <w:r>
        <w:rPr>
          <w:rStyle w:val="dn"/>
          <w:szCs w:val="24"/>
        </w:rPr>
        <w:t>Zavedením teritoriality by se odstranila výrazná neefektivita a duplicita v </w:t>
      </w:r>
      <w:r>
        <w:rPr>
          <w:rStyle w:val="dn"/>
          <w:szCs w:val="24"/>
          <w:lang w:val="es-ES_tradnl"/>
        </w:rPr>
        <w:t>procesu exeku</w:t>
      </w:r>
      <w:r>
        <w:rPr>
          <w:rStyle w:val="dn"/>
          <w:szCs w:val="24"/>
        </w:rPr>
        <w:t>čního vymáhání. Jelikož má momentálně povinný v případě vícečetných</w:t>
      </w:r>
      <w:r>
        <w:rPr>
          <w:rStyle w:val="dn"/>
          <w:szCs w:val="24"/>
          <w:lang w:val="fr-FR"/>
        </w:rPr>
        <w:t xml:space="preserve"> </w:t>
      </w:r>
      <w:r>
        <w:rPr>
          <w:rStyle w:val="dn"/>
          <w:szCs w:val="24"/>
        </w:rPr>
        <w:t>exekucí, kterými je pověřeno více soudních exekutorů, vzniká duplikace některých jejich úkonů, jako například zjišťování majetku, druhu a zdroje přijmu povinn</w:t>
      </w:r>
      <w:r>
        <w:rPr>
          <w:rStyle w:val="dn"/>
          <w:szCs w:val="24"/>
          <w:lang w:val="fr-FR"/>
        </w:rPr>
        <w:t>é</w:t>
      </w:r>
      <w:r>
        <w:rPr>
          <w:rStyle w:val="dn"/>
          <w:szCs w:val="24"/>
        </w:rPr>
        <w:t>ho, existenci bankovního účtu, jeho bydliště, atd. Tímto jsou někter</w:t>
      </w:r>
      <w:r>
        <w:rPr>
          <w:rStyle w:val="dn"/>
          <w:szCs w:val="24"/>
          <w:lang w:val="fr-FR"/>
        </w:rPr>
        <w:t xml:space="preserve">é </w:t>
      </w:r>
      <w:r>
        <w:rPr>
          <w:rStyle w:val="dn"/>
          <w:szCs w:val="24"/>
        </w:rPr>
        <w:t>subjekty zbytečně zatěžovány totožnými dotazy a dochází tak k prodlevám ve vymáhání pohledávek. Dotazovanými subjekty jsou například banky, zaměstnavatel</w:t>
      </w:r>
      <w:r>
        <w:rPr>
          <w:rStyle w:val="dn"/>
          <w:szCs w:val="24"/>
          <w:lang w:val="fr-FR"/>
        </w:rPr>
        <w:t xml:space="preserve">é </w:t>
      </w:r>
      <w:r>
        <w:rPr>
          <w:rStyle w:val="dn"/>
          <w:szCs w:val="24"/>
        </w:rPr>
        <w:t>povinný</w:t>
      </w:r>
      <w:r>
        <w:rPr>
          <w:rStyle w:val="dn"/>
          <w:szCs w:val="24"/>
          <w:lang w:val="de-DE"/>
        </w:rPr>
        <w:t xml:space="preserve">ch, </w:t>
      </w:r>
      <w:r>
        <w:rPr>
          <w:rStyle w:val="dn"/>
          <w:szCs w:val="24"/>
        </w:rPr>
        <w:t xml:space="preserve">úřady práce, pojišťovny, katastry nemovitostí </w:t>
      </w:r>
      <w:r>
        <w:rPr>
          <w:rStyle w:val="dn"/>
          <w:szCs w:val="24"/>
          <w:lang w:val="it-IT"/>
        </w:rPr>
        <w:t>a dal</w:t>
      </w:r>
      <w:r>
        <w:rPr>
          <w:rStyle w:val="dn"/>
          <w:szCs w:val="24"/>
        </w:rPr>
        <w:t xml:space="preserve">ší instituce. V neposlední řadě by se zavedením místní příslušnosti exekutorů měl zefektivnit dohled nad činností exekutorů </w:t>
      </w:r>
      <w:r>
        <w:rPr>
          <w:rStyle w:val="dn"/>
          <w:szCs w:val="24"/>
          <w:lang w:val="pt-PT"/>
        </w:rPr>
        <w:t>exeku</w:t>
      </w:r>
      <w:r>
        <w:rPr>
          <w:rStyle w:val="dn"/>
          <w:szCs w:val="24"/>
        </w:rPr>
        <w:t>čním soudem, a tím by se mělo zabrá</w:t>
      </w:r>
      <w:r>
        <w:rPr>
          <w:rStyle w:val="dn"/>
          <w:szCs w:val="24"/>
          <w:lang w:val="en-US"/>
        </w:rPr>
        <w:t>nit exces</w:t>
      </w:r>
      <w:r>
        <w:rPr>
          <w:rStyle w:val="dn"/>
          <w:szCs w:val="24"/>
        </w:rPr>
        <w:t>ů</w:t>
      </w:r>
      <w:r>
        <w:rPr>
          <w:rStyle w:val="dn"/>
          <w:szCs w:val="24"/>
          <w:lang w:val="pt-PT"/>
        </w:rPr>
        <w:t>m p</w:t>
      </w:r>
      <w:r>
        <w:rPr>
          <w:rStyle w:val="dn"/>
          <w:szCs w:val="24"/>
        </w:rPr>
        <w:t xml:space="preserve">ři exekuční činnosti. </w:t>
      </w:r>
      <w:r>
        <w:rPr>
          <w:rStyle w:val="dn"/>
          <w:rFonts w:eastAsia="Times New Roman" w:cs="Times New Roman"/>
          <w:szCs w:val="24"/>
          <w:vertAlign w:val="superscript"/>
        </w:rPr>
        <w:footnoteReference w:id="123"/>
      </w:r>
    </w:p>
    <w:p w:rsidR="009B70FF" w:rsidRPr="000B3622" w:rsidRDefault="009B70FF" w:rsidP="007A2179">
      <w:pPr>
        <w:pStyle w:val="Nadpis3"/>
        <w:numPr>
          <w:ilvl w:val="2"/>
          <w:numId w:val="35"/>
        </w:numPr>
        <w:pBdr>
          <w:top w:val="nil"/>
          <w:left w:val="nil"/>
          <w:bottom w:val="nil"/>
          <w:right w:val="nil"/>
          <w:between w:val="nil"/>
          <w:bar w:val="nil"/>
        </w:pBdr>
        <w:spacing w:before="200" w:line="276" w:lineRule="auto"/>
        <w:jc w:val="left"/>
        <w:rPr>
          <w:rFonts w:eastAsia="Times New Roman" w:cs="Times New Roman"/>
          <w:szCs w:val="24"/>
        </w:rPr>
      </w:pPr>
      <w:bookmarkStart w:id="97" w:name="_Toc32"/>
      <w:bookmarkStart w:id="98" w:name="_Toc18276747"/>
      <w:bookmarkStart w:id="99" w:name="_Toc18313967"/>
      <w:r w:rsidRPr="000B3622">
        <w:rPr>
          <w:rStyle w:val="dn"/>
          <w:szCs w:val="24"/>
          <w:u w:color="000000"/>
        </w:rPr>
        <w:t>Argumenty proti zavedení místní příslušnosti</w:t>
      </w:r>
      <w:bookmarkEnd w:id="97"/>
      <w:bookmarkEnd w:id="98"/>
      <w:bookmarkEnd w:id="99"/>
    </w:p>
    <w:p w:rsidR="009B70FF" w:rsidRDefault="009B70FF" w:rsidP="009B70FF">
      <w:pPr>
        <w:spacing w:after="240"/>
        <w:ind w:firstLine="708"/>
        <w:rPr>
          <w:rStyle w:val="dn"/>
          <w:rFonts w:eastAsia="Times New Roman" w:cs="Times New Roman"/>
          <w:szCs w:val="24"/>
        </w:rPr>
      </w:pPr>
      <w:r>
        <w:rPr>
          <w:rStyle w:val="dn"/>
          <w:szCs w:val="24"/>
        </w:rPr>
        <w:t>Naproti argumentům pro zavedení teritoriality stojí vcelku dlouhý seznam argumentů proti jejímu zavedení. Tyto argumenty zastávají především soudní exekutoři, který</w:t>
      </w:r>
      <w:r>
        <w:rPr>
          <w:rStyle w:val="dn"/>
          <w:szCs w:val="24"/>
          <w:lang w:val="pt-PT"/>
        </w:rPr>
        <w:t>m moment</w:t>
      </w:r>
      <w:r>
        <w:rPr>
          <w:rStyle w:val="dn"/>
          <w:szCs w:val="24"/>
        </w:rPr>
        <w:t>ální stav více než vyhovuje. V pří</w:t>
      </w:r>
      <w:r>
        <w:rPr>
          <w:rStyle w:val="dn"/>
          <w:szCs w:val="24"/>
          <w:lang w:val="nl-NL"/>
        </w:rPr>
        <w:t xml:space="preserve">loze </w:t>
      </w:r>
      <w:r>
        <w:rPr>
          <w:rStyle w:val="dn"/>
          <w:szCs w:val="24"/>
        </w:rPr>
        <w:t>č. 1 jsou přiloženy argumenty proti zavedení místní příslušnosti exekutorů, kter</w:t>
      </w:r>
      <w:r>
        <w:rPr>
          <w:rStyle w:val="dn"/>
          <w:szCs w:val="24"/>
          <w:lang w:val="fr-FR"/>
        </w:rPr>
        <w:t xml:space="preserve">é </w:t>
      </w:r>
      <w:r>
        <w:rPr>
          <w:rStyle w:val="dn"/>
          <w:szCs w:val="24"/>
        </w:rPr>
        <w:t>jsme s Mgr. Zuzanou Sobíškovou zpracovaly. Z těchto argumentů tak</w:t>
      </w:r>
      <w:r>
        <w:rPr>
          <w:rStyle w:val="dn"/>
          <w:szCs w:val="24"/>
          <w:lang w:val="fr-FR"/>
        </w:rPr>
        <w:t xml:space="preserve">é </w:t>
      </w:r>
      <w:r>
        <w:rPr>
          <w:rStyle w:val="dn"/>
          <w:szCs w:val="24"/>
        </w:rPr>
        <w:t xml:space="preserve">vychází </w:t>
      </w:r>
      <w:r>
        <w:rPr>
          <w:rStyle w:val="dn"/>
          <w:szCs w:val="24"/>
          <w:lang w:val="it-IT"/>
        </w:rPr>
        <w:t xml:space="preserve">tato podkapitola. </w:t>
      </w:r>
      <w:r>
        <w:rPr>
          <w:rStyle w:val="dn"/>
          <w:rFonts w:eastAsia="Times New Roman" w:cs="Times New Roman"/>
          <w:szCs w:val="24"/>
          <w:vertAlign w:val="superscript"/>
        </w:rPr>
        <w:footnoteReference w:id="124"/>
      </w:r>
    </w:p>
    <w:p w:rsidR="009B70FF" w:rsidRDefault="009B70FF" w:rsidP="009B70FF">
      <w:pPr>
        <w:rPr>
          <w:rStyle w:val="dn"/>
          <w:rFonts w:eastAsia="Times New Roman" w:cs="Times New Roman"/>
          <w:szCs w:val="24"/>
        </w:rPr>
      </w:pPr>
      <w:r>
        <w:rPr>
          <w:rStyle w:val="dn"/>
          <w:rFonts w:eastAsia="Times New Roman" w:cs="Times New Roman"/>
          <w:szCs w:val="24"/>
        </w:rPr>
        <w:tab/>
        <w:t>Prvn</w:t>
      </w:r>
      <w:r>
        <w:rPr>
          <w:rStyle w:val="dn"/>
          <w:szCs w:val="24"/>
        </w:rPr>
        <w:t>ím  argumentem je snížení vymahatelnosti pohledávek. Jednalo by se především o velk</w:t>
      </w:r>
      <w:r>
        <w:rPr>
          <w:rStyle w:val="dn"/>
          <w:szCs w:val="24"/>
          <w:lang w:val="fr-FR"/>
        </w:rPr>
        <w:t xml:space="preserve">é </w:t>
      </w:r>
      <w:r>
        <w:rPr>
          <w:rStyle w:val="dn"/>
          <w:szCs w:val="24"/>
        </w:rPr>
        <w:t>exekutorské úřady, které žijí ze spolupráce s velkými věřiteli. Ti by na zavedení místní příslušnosti byli tak</w:t>
      </w:r>
      <w:r>
        <w:rPr>
          <w:rStyle w:val="dn"/>
          <w:szCs w:val="24"/>
          <w:lang w:val="fr-FR"/>
        </w:rPr>
        <w:t xml:space="preserve">é </w:t>
      </w:r>
      <w:r>
        <w:rPr>
          <w:rStyle w:val="dn"/>
          <w:szCs w:val="24"/>
        </w:rPr>
        <w:t>bití. Velk</w:t>
      </w:r>
      <w:r>
        <w:rPr>
          <w:rStyle w:val="dn"/>
          <w:szCs w:val="24"/>
          <w:lang w:val="fr-FR"/>
        </w:rPr>
        <w:t xml:space="preserve">é </w:t>
      </w:r>
      <w:r>
        <w:rPr>
          <w:rStyle w:val="dn"/>
          <w:szCs w:val="24"/>
        </w:rPr>
        <w:t>exekutorské úřady spolupracují s velkými věřiteli, tzn. s bankami, pojišťovnami, inkasními agenturami, kter</w:t>
      </w:r>
      <w:r>
        <w:rPr>
          <w:rStyle w:val="dn"/>
          <w:szCs w:val="24"/>
          <w:lang w:val="fr-FR"/>
        </w:rPr>
        <w:t xml:space="preserve">é </w:t>
      </w:r>
      <w:r>
        <w:rPr>
          <w:rStyle w:val="dn"/>
          <w:szCs w:val="24"/>
        </w:rPr>
        <w:t>vymáhají pokuty dopravních podniků či energetickými společnostmi. Zatímco v </w:t>
      </w:r>
      <w:r>
        <w:rPr>
          <w:rStyle w:val="dn"/>
          <w:szCs w:val="24"/>
          <w:lang w:val="fr-FR"/>
        </w:rPr>
        <w:t>sou</w:t>
      </w:r>
      <w:r>
        <w:rPr>
          <w:rStyle w:val="dn"/>
          <w:szCs w:val="24"/>
        </w:rPr>
        <w:t>časn</w:t>
      </w:r>
      <w:r>
        <w:rPr>
          <w:rStyle w:val="dn"/>
          <w:szCs w:val="24"/>
          <w:lang w:val="fr-FR"/>
        </w:rPr>
        <w:t xml:space="preserve">é </w:t>
      </w:r>
      <w:r>
        <w:rPr>
          <w:rStyle w:val="dn"/>
          <w:szCs w:val="24"/>
        </w:rPr>
        <w:t xml:space="preserve">době mají </w:t>
      </w:r>
      <w:r>
        <w:rPr>
          <w:rStyle w:val="dn"/>
          <w:szCs w:val="24"/>
          <w:lang w:val="it-IT"/>
        </w:rPr>
        <w:t>tito v</w:t>
      </w:r>
      <w:r>
        <w:rPr>
          <w:rStyle w:val="dn"/>
          <w:szCs w:val="24"/>
        </w:rPr>
        <w:t>ěřitel</w:t>
      </w:r>
      <w:r>
        <w:rPr>
          <w:rStyle w:val="dn"/>
          <w:szCs w:val="24"/>
          <w:lang w:val="fr-FR"/>
        </w:rPr>
        <w:t xml:space="preserve">é </w:t>
      </w:r>
      <w:r>
        <w:rPr>
          <w:rStyle w:val="dn"/>
          <w:szCs w:val="24"/>
        </w:rPr>
        <w:t>vešker</w:t>
      </w:r>
      <w:r>
        <w:rPr>
          <w:rStyle w:val="dn"/>
          <w:szCs w:val="24"/>
          <w:lang w:val="fr-FR"/>
        </w:rPr>
        <w:t xml:space="preserve">é </w:t>
      </w:r>
      <w:r>
        <w:rPr>
          <w:rStyle w:val="dn"/>
          <w:szCs w:val="24"/>
        </w:rPr>
        <w:t>pohledávky tzv. pod jednou střechou, se zavedením teritoriality by věřitel</w:t>
      </w:r>
      <w:r>
        <w:rPr>
          <w:rStyle w:val="dn"/>
          <w:szCs w:val="24"/>
          <w:lang w:val="fr-FR"/>
        </w:rPr>
        <w:t xml:space="preserve">é </w:t>
      </w:r>
      <w:r>
        <w:rPr>
          <w:rStyle w:val="dn"/>
          <w:szCs w:val="24"/>
        </w:rPr>
        <w:t>byli nuceni sv</w:t>
      </w:r>
      <w:r>
        <w:rPr>
          <w:rStyle w:val="dn"/>
          <w:szCs w:val="24"/>
          <w:lang w:val="fr-FR"/>
        </w:rPr>
        <w:t xml:space="preserve">é </w:t>
      </w:r>
      <w:r>
        <w:rPr>
          <w:rStyle w:val="dn"/>
          <w:szCs w:val="24"/>
        </w:rPr>
        <w:t>pohledávky řešit na ví</w:t>
      </w:r>
      <w:r>
        <w:rPr>
          <w:rStyle w:val="dn"/>
          <w:szCs w:val="24"/>
          <w:lang w:val="en-US"/>
        </w:rPr>
        <w:t>ce front</w:t>
      </w:r>
      <w:r>
        <w:rPr>
          <w:rStyle w:val="dn"/>
          <w:szCs w:val="24"/>
        </w:rPr>
        <w:t>ách, a to podle jednotlivých krajů a místně příslušných exekutorů.</w:t>
      </w:r>
      <w:r w:rsidR="00D16E75">
        <w:rPr>
          <w:rStyle w:val="Znakapoznpodarou"/>
          <w:szCs w:val="24"/>
        </w:rPr>
        <w:footnoteReference w:id="125"/>
      </w:r>
    </w:p>
    <w:p w:rsidR="009B70FF" w:rsidRDefault="009B70FF" w:rsidP="009B70FF">
      <w:pPr>
        <w:rPr>
          <w:rStyle w:val="dn"/>
          <w:rFonts w:eastAsia="Times New Roman" w:cs="Times New Roman"/>
          <w:szCs w:val="24"/>
        </w:rPr>
      </w:pPr>
      <w:r>
        <w:rPr>
          <w:rStyle w:val="dn"/>
          <w:rFonts w:eastAsia="Times New Roman" w:cs="Times New Roman"/>
          <w:szCs w:val="24"/>
        </w:rPr>
        <w:tab/>
        <w:t>Dal</w:t>
      </w:r>
      <w:r>
        <w:rPr>
          <w:rStyle w:val="dn"/>
          <w:szCs w:val="24"/>
        </w:rPr>
        <w:t>ším argumentem proti jsou zálohy na náklady exekuce. Exekutor smí ze zákona po oprávněn</w:t>
      </w:r>
      <w:r>
        <w:rPr>
          <w:rStyle w:val="dn"/>
          <w:szCs w:val="24"/>
          <w:lang w:val="fr-FR"/>
        </w:rPr>
        <w:t>é</w:t>
      </w:r>
      <w:r>
        <w:rPr>
          <w:rStyle w:val="dn"/>
          <w:szCs w:val="24"/>
        </w:rPr>
        <w:t>m požadovat zálohu na náklady exekuce. V dnešní době, díky konkurenčnímu prostředí, jí skoro žádný exekutor nepožaduje. Pokud bude zavedena teritorialita, zanikne konkurenční prostředí mezi exekutory, kter</w:t>
      </w:r>
      <w:r>
        <w:rPr>
          <w:rStyle w:val="dn"/>
          <w:szCs w:val="24"/>
          <w:lang w:val="fr-FR"/>
        </w:rPr>
        <w:t xml:space="preserve">é </w:t>
      </w:r>
      <w:r>
        <w:rPr>
          <w:rStyle w:val="dn"/>
          <w:szCs w:val="24"/>
        </w:rPr>
        <w:t>si oprávnění nebudou moci zvolit. Exekutoři budou tudíž vždy při zahájení exekuce vyžadovat zálohy na náklady exekuce. V případě ž</w:t>
      </w:r>
      <w:r>
        <w:rPr>
          <w:rStyle w:val="dn"/>
          <w:szCs w:val="24"/>
          <w:lang w:val="it-IT"/>
        </w:rPr>
        <w:t>e tato z</w:t>
      </w:r>
      <w:r>
        <w:rPr>
          <w:rStyle w:val="dn"/>
          <w:szCs w:val="24"/>
        </w:rPr>
        <w:t>áloha nebude oprávněným zaplacena, exekutor může exekuci zastavit, a to ze zá</w:t>
      </w:r>
      <w:r>
        <w:rPr>
          <w:rStyle w:val="dn"/>
          <w:szCs w:val="24"/>
          <w:lang w:val="de-DE"/>
        </w:rPr>
        <w:t>konn</w:t>
      </w:r>
      <w:r>
        <w:rPr>
          <w:rStyle w:val="dn"/>
          <w:szCs w:val="24"/>
        </w:rPr>
        <w:t>ý</w:t>
      </w:r>
      <w:r>
        <w:rPr>
          <w:rStyle w:val="dn"/>
          <w:szCs w:val="24"/>
          <w:lang w:val="de-DE"/>
        </w:rPr>
        <w:t>ch d</w:t>
      </w:r>
      <w:r>
        <w:rPr>
          <w:rStyle w:val="dn"/>
          <w:szCs w:val="24"/>
        </w:rPr>
        <w:t xml:space="preserve">ůvodů. Tato exekuce tak bude zastavena ještě předtím, než začne. </w:t>
      </w:r>
      <w:r w:rsidR="00990022">
        <w:rPr>
          <w:rStyle w:val="Znakapoznpodarou"/>
          <w:szCs w:val="24"/>
        </w:rPr>
        <w:footnoteReference w:id="126"/>
      </w:r>
    </w:p>
    <w:p w:rsidR="009B70FF" w:rsidRDefault="009B70FF" w:rsidP="009B70FF">
      <w:pPr>
        <w:ind w:firstLine="708"/>
        <w:rPr>
          <w:rStyle w:val="dn"/>
          <w:rFonts w:eastAsia="Times New Roman" w:cs="Times New Roman"/>
          <w:szCs w:val="24"/>
        </w:rPr>
      </w:pPr>
      <w:r>
        <w:rPr>
          <w:rStyle w:val="dn"/>
          <w:szCs w:val="24"/>
        </w:rPr>
        <w:t>Zálohy na náklady exekuce mnohdy slouží exekutorovi k pokrytí neúspěšných kauz. Pokud po zavedení teritoriality bude exekutor po oprávněn</w:t>
      </w:r>
      <w:r>
        <w:rPr>
          <w:rStyle w:val="dn"/>
          <w:szCs w:val="24"/>
          <w:lang w:val="fr-FR"/>
        </w:rPr>
        <w:t>é</w:t>
      </w:r>
      <w:r>
        <w:rPr>
          <w:rStyle w:val="dn"/>
          <w:szCs w:val="24"/>
        </w:rPr>
        <w:t>m požadovat zálohu, bude mít sv</w:t>
      </w:r>
      <w:r>
        <w:rPr>
          <w:rStyle w:val="dn"/>
          <w:szCs w:val="24"/>
          <w:lang w:val="fr-FR"/>
        </w:rPr>
        <w:t xml:space="preserve">é </w:t>
      </w:r>
      <w:r>
        <w:rPr>
          <w:rStyle w:val="dn"/>
          <w:szCs w:val="24"/>
        </w:rPr>
        <w:t>jist</w:t>
      </w:r>
      <w:r>
        <w:rPr>
          <w:rStyle w:val="dn"/>
          <w:szCs w:val="24"/>
          <w:lang w:val="fr-FR"/>
        </w:rPr>
        <w:t xml:space="preserve">é </w:t>
      </w:r>
      <w:r>
        <w:rPr>
          <w:rStyle w:val="dn"/>
          <w:szCs w:val="24"/>
        </w:rPr>
        <w:t>a nebude pak již tak motivován k vymožení pohledávky. Exekutor by totiž následně začal činit vešker</w:t>
      </w:r>
      <w:r>
        <w:rPr>
          <w:rStyle w:val="dn"/>
          <w:szCs w:val="24"/>
          <w:lang w:val="fr-FR"/>
        </w:rPr>
        <w:t xml:space="preserve">é </w:t>
      </w:r>
      <w:r>
        <w:rPr>
          <w:rStyle w:val="dn"/>
          <w:szCs w:val="24"/>
        </w:rPr>
        <w:t>potřebné úkony, do kterých by musel investovat a do doby vymožení dluhu by návratnost těchto nákladů jistou neměl. Mohl by se pak dostat zpět na nulu. V případě, že bude exekutor takto přemýš</w:t>
      </w:r>
      <w:r>
        <w:rPr>
          <w:rStyle w:val="dn"/>
          <w:szCs w:val="24"/>
          <w:lang w:val="da-DK"/>
        </w:rPr>
        <w:t>let, exekuce bude vedena pouze form</w:t>
      </w:r>
      <w:r>
        <w:rPr>
          <w:rStyle w:val="dn"/>
          <w:szCs w:val="24"/>
        </w:rPr>
        <w:t>álními úkony a bude úspěšně vymožena pouze v případě, že povinný bude dobrovolně plnit.</w:t>
      </w:r>
      <w:r>
        <w:rPr>
          <w:rStyle w:val="dn"/>
          <w:rFonts w:eastAsia="Times New Roman" w:cs="Times New Roman"/>
          <w:szCs w:val="24"/>
          <w:vertAlign w:val="superscript"/>
        </w:rPr>
        <w:footnoteReference w:id="127"/>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ab/>
        <w:t>S</w:t>
      </w:r>
      <w:r>
        <w:rPr>
          <w:rStyle w:val="dn"/>
          <w:szCs w:val="24"/>
        </w:rPr>
        <w:t> argumentem hospodárnosti řízení, která by se se zavedením teritoriality měla zlepšit, nesouhlasí exekutoři proti teritorialitě, a to z následující</w:t>
      </w:r>
      <w:r>
        <w:rPr>
          <w:rStyle w:val="dn"/>
          <w:szCs w:val="24"/>
          <w:lang w:val="pt-PT"/>
        </w:rPr>
        <w:t>ho d</w:t>
      </w:r>
      <w:r>
        <w:rPr>
          <w:rStyle w:val="dn"/>
          <w:szCs w:val="24"/>
        </w:rPr>
        <w:t>ůvodu. V </w:t>
      </w:r>
      <w:r>
        <w:rPr>
          <w:rStyle w:val="dn"/>
          <w:szCs w:val="24"/>
          <w:lang w:val="fr-FR"/>
        </w:rPr>
        <w:t>sou</w:t>
      </w:r>
      <w:r>
        <w:rPr>
          <w:rStyle w:val="dn"/>
          <w:szCs w:val="24"/>
        </w:rPr>
        <w:t>časnosti jsou prý nejvyšší náklady vynaložen</w:t>
      </w:r>
      <w:r>
        <w:rPr>
          <w:rStyle w:val="dn"/>
          <w:szCs w:val="24"/>
          <w:lang w:val="fr-FR"/>
        </w:rPr>
        <w:t xml:space="preserve">é </w:t>
      </w:r>
      <w:r>
        <w:rPr>
          <w:rStyle w:val="dn"/>
          <w:szCs w:val="24"/>
        </w:rPr>
        <w:t>na zámečníky, stěhováky a na skladování sepsaný</w:t>
      </w:r>
      <w:r>
        <w:rPr>
          <w:rStyle w:val="dn"/>
          <w:szCs w:val="24"/>
          <w:lang w:val="en-US"/>
        </w:rPr>
        <w:t>ch movit</w:t>
      </w:r>
      <w:r>
        <w:rPr>
          <w:rStyle w:val="dn"/>
          <w:szCs w:val="24"/>
        </w:rPr>
        <w:t>ých věcí. Se zavedením teritoriality se nicm</w:t>
      </w:r>
      <w:r>
        <w:rPr>
          <w:rStyle w:val="dn"/>
          <w:szCs w:val="24"/>
          <w:lang w:val="fr-FR"/>
        </w:rPr>
        <w:t>é</w:t>
      </w:r>
      <w:r>
        <w:rPr>
          <w:rStyle w:val="dn"/>
          <w:szCs w:val="24"/>
        </w:rPr>
        <w:t>ně těchto položek exekutor nezbaví. Cestovn</w:t>
      </w:r>
      <w:r>
        <w:rPr>
          <w:rStyle w:val="dn"/>
          <w:szCs w:val="24"/>
          <w:lang w:val="fr-FR"/>
        </w:rPr>
        <w:t>é</w:t>
      </w:r>
      <w:r>
        <w:rPr>
          <w:rStyle w:val="dn"/>
          <w:szCs w:val="24"/>
        </w:rPr>
        <w:t>, kter</w:t>
      </w:r>
      <w:r>
        <w:rPr>
          <w:rStyle w:val="dn"/>
          <w:szCs w:val="24"/>
          <w:lang w:val="fr-FR"/>
        </w:rPr>
        <w:t xml:space="preserve">é </w:t>
      </w:r>
      <w:r>
        <w:rPr>
          <w:rStyle w:val="dn"/>
          <w:szCs w:val="24"/>
        </w:rPr>
        <w:t>exekutor vynaloží př</w:t>
      </w:r>
      <w:r>
        <w:rPr>
          <w:rStyle w:val="dn"/>
          <w:szCs w:val="24"/>
          <w:lang w:val="it-IT"/>
        </w:rPr>
        <w:t>i n</w:t>
      </w:r>
      <w:r>
        <w:rPr>
          <w:rStyle w:val="dn"/>
          <w:szCs w:val="24"/>
        </w:rPr>
        <w:t>ávštěvě povinných, je mezi ně rozpočítáváno. Podle právní úpravy je navíc upravena maximální částka, která činí nejvýše 1500 korun za jednu cestu. Se zavedením teritoriality bude nově exekutor pověřen exekucí, v níž má povinný trvalý pobyt v obvodu sídla soudního exekutora. Nicm</w:t>
      </w:r>
      <w:r>
        <w:rPr>
          <w:rStyle w:val="dn"/>
          <w:szCs w:val="24"/>
          <w:lang w:val="fr-FR"/>
        </w:rPr>
        <w:t>é</w:t>
      </w:r>
      <w:r>
        <w:rPr>
          <w:rStyle w:val="dn"/>
          <w:szCs w:val="24"/>
        </w:rPr>
        <w:t>ně většina povinných se zdržuje mimo sv</w:t>
      </w:r>
      <w:r>
        <w:rPr>
          <w:rStyle w:val="dn"/>
          <w:szCs w:val="24"/>
          <w:lang w:val="fr-FR"/>
        </w:rPr>
        <w:t xml:space="preserve">é </w:t>
      </w:r>
      <w:r>
        <w:rPr>
          <w:rStyle w:val="dn"/>
          <w:szCs w:val="24"/>
        </w:rPr>
        <w:t>uveden</w:t>
      </w:r>
      <w:r>
        <w:rPr>
          <w:rStyle w:val="dn"/>
          <w:szCs w:val="24"/>
          <w:lang w:val="fr-FR"/>
        </w:rPr>
        <w:t xml:space="preserve">é </w:t>
      </w:r>
      <w:r>
        <w:rPr>
          <w:rStyle w:val="dn"/>
          <w:szCs w:val="24"/>
        </w:rPr>
        <w:t>bydliště, tudíž exekutor za povinným bude muset cestovat tak jako tak.</w:t>
      </w:r>
      <w:r>
        <w:rPr>
          <w:rStyle w:val="dn"/>
          <w:rFonts w:eastAsia="Times New Roman" w:cs="Times New Roman"/>
          <w:szCs w:val="24"/>
          <w:vertAlign w:val="superscript"/>
        </w:rPr>
        <w:footnoteReference w:id="128"/>
      </w:r>
      <w:r>
        <w:rPr>
          <w:rStyle w:val="dn"/>
          <w:szCs w:val="24"/>
        </w:rPr>
        <w:t xml:space="preserve"> </w:t>
      </w:r>
    </w:p>
    <w:p w:rsidR="009B70FF" w:rsidRDefault="009B70FF" w:rsidP="009B70FF">
      <w:pPr>
        <w:rPr>
          <w:rStyle w:val="dn"/>
          <w:rFonts w:eastAsia="Times New Roman" w:cs="Times New Roman"/>
          <w:szCs w:val="24"/>
        </w:rPr>
      </w:pPr>
      <w:r>
        <w:rPr>
          <w:rStyle w:val="dn"/>
          <w:rFonts w:eastAsia="Times New Roman" w:cs="Times New Roman"/>
          <w:szCs w:val="24"/>
        </w:rPr>
        <w:tab/>
        <w:t>Zaveden</w:t>
      </w:r>
      <w:r>
        <w:rPr>
          <w:rStyle w:val="dn"/>
          <w:szCs w:val="24"/>
        </w:rPr>
        <w:t>ím místní příslušnosti bude pro exekutory, kteří do modernizace a automatizace softwarů investovali nemalé částky, znamenat zmařen</w:t>
      </w:r>
      <w:r>
        <w:rPr>
          <w:rStyle w:val="dn"/>
          <w:szCs w:val="24"/>
          <w:lang w:val="fr-FR"/>
        </w:rPr>
        <w:t xml:space="preserve">é </w:t>
      </w:r>
      <w:r>
        <w:rPr>
          <w:rStyle w:val="dn"/>
          <w:szCs w:val="24"/>
        </w:rPr>
        <w:t>investice, kter</w:t>
      </w:r>
      <w:r>
        <w:rPr>
          <w:rStyle w:val="dn"/>
          <w:szCs w:val="24"/>
          <w:lang w:val="fr-FR"/>
        </w:rPr>
        <w:t xml:space="preserve">é </w:t>
      </w:r>
      <w:r>
        <w:rPr>
          <w:rStyle w:val="dn"/>
          <w:szCs w:val="24"/>
        </w:rPr>
        <w:t>se budou po státu domáhat. Zároveň budou mnozí muset investovat nemalé částky na vyplacení odstupn</w:t>
      </w:r>
      <w:r>
        <w:rPr>
          <w:rStyle w:val="dn"/>
          <w:szCs w:val="24"/>
          <w:lang w:val="fr-FR"/>
        </w:rPr>
        <w:t>é</w:t>
      </w:r>
      <w:r>
        <w:rPr>
          <w:rStyle w:val="dn"/>
          <w:szCs w:val="24"/>
        </w:rPr>
        <w:t>ho svým zaměstnancům, kteří budou muset být propuštěni pro nadbytečnost. Vzhledem k tomu, že někteří budou muset redukovat počty například z 80 zaměstnanců na 20. Na druhou stranu menší exekutorské úřady budou muset s přibývajícím poč</w:t>
      </w:r>
      <w:r>
        <w:rPr>
          <w:rStyle w:val="dn"/>
          <w:szCs w:val="24"/>
          <w:lang w:val="pt-PT"/>
        </w:rPr>
        <w:t>tem exekuc</w:t>
      </w:r>
      <w:r>
        <w:rPr>
          <w:rStyle w:val="dn"/>
          <w:szCs w:val="24"/>
        </w:rPr>
        <w:t>í zaměstnat nov</w:t>
      </w:r>
      <w:r>
        <w:rPr>
          <w:rStyle w:val="dn"/>
          <w:szCs w:val="24"/>
          <w:lang w:val="fr-FR"/>
        </w:rPr>
        <w:t xml:space="preserve">é </w:t>
      </w:r>
      <w:r>
        <w:rPr>
          <w:rStyle w:val="dn"/>
          <w:szCs w:val="24"/>
        </w:rPr>
        <w:t>zaměstnance. S tím je spojeno jejich časově náročn</w:t>
      </w:r>
      <w:r>
        <w:rPr>
          <w:rStyle w:val="dn"/>
          <w:szCs w:val="24"/>
          <w:lang w:val="fr-FR"/>
        </w:rPr>
        <w:t xml:space="preserve">é </w:t>
      </w:r>
      <w:r>
        <w:rPr>
          <w:rStyle w:val="dn"/>
          <w:szCs w:val="24"/>
        </w:rPr>
        <w:t>zaškolování atd. Zároveň budou muset změnit sídlo, což bude opě</w:t>
      </w:r>
      <w:r>
        <w:rPr>
          <w:rStyle w:val="dn"/>
          <w:szCs w:val="24"/>
          <w:lang w:val="en-US"/>
        </w:rPr>
        <w:t>t tak</w:t>
      </w:r>
      <w:r>
        <w:rPr>
          <w:rStyle w:val="dn"/>
          <w:szCs w:val="24"/>
          <w:lang w:val="fr-FR"/>
        </w:rPr>
        <w:t xml:space="preserve">é </w:t>
      </w:r>
      <w:r>
        <w:rPr>
          <w:rStyle w:val="dn"/>
          <w:szCs w:val="24"/>
        </w:rPr>
        <w:t>nákladn</w:t>
      </w:r>
      <w:r>
        <w:rPr>
          <w:rStyle w:val="dn"/>
          <w:szCs w:val="24"/>
          <w:lang w:val="fr-FR"/>
        </w:rPr>
        <w:t xml:space="preserve">é </w:t>
      </w:r>
      <w:r>
        <w:rPr>
          <w:rStyle w:val="dn"/>
          <w:szCs w:val="24"/>
        </w:rPr>
        <w:t>a pravděpodobně největší položkou bude modernizace jejich softwaru.</w:t>
      </w:r>
      <w:r w:rsidR="00990022">
        <w:rPr>
          <w:rStyle w:val="Znakapoznpodarou"/>
          <w:szCs w:val="24"/>
        </w:rPr>
        <w:footnoteReference w:id="129"/>
      </w:r>
    </w:p>
    <w:p w:rsidR="009B70FF" w:rsidRDefault="009B70FF" w:rsidP="007A2179">
      <w:pPr>
        <w:pStyle w:val="Nadpis2"/>
        <w:numPr>
          <w:ilvl w:val="1"/>
          <w:numId w:val="35"/>
        </w:numPr>
        <w:pBdr>
          <w:top w:val="nil"/>
          <w:left w:val="nil"/>
          <w:bottom w:val="nil"/>
          <w:right w:val="nil"/>
          <w:between w:val="nil"/>
          <w:bar w:val="nil"/>
        </w:pBdr>
        <w:spacing w:before="260" w:after="260" w:line="240" w:lineRule="auto"/>
        <w:ind w:left="709" w:hanging="709"/>
        <w:jc w:val="left"/>
        <w:rPr>
          <w:rFonts w:eastAsia="Times New Roman" w:cs="Times New Roman"/>
          <w:color w:val="000000"/>
        </w:rPr>
      </w:pPr>
      <w:bookmarkStart w:id="100" w:name="_Toc18276748"/>
      <w:bookmarkStart w:id="101" w:name="_Toc18313968"/>
      <w:bookmarkStart w:id="102" w:name="_Toc33"/>
      <w:r>
        <w:rPr>
          <w:rStyle w:val="dn"/>
          <w:color w:val="000000"/>
          <w:u w:color="000000"/>
        </w:rPr>
        <w:t>Koncentrace exekučního řízení</w:t>
      </w:r>
      <w:bookmarkEnd w:id="100"/>
      <w:bookmarkEnd w:id="101"/>
      <w:r>
        <w:rPr>
          <w:rStyle w:val="dn"/>
          <w:color w:val="000000"/>
          <w:u w:color="000000"/>
        </w:rPr>
        <w:t xml:space="preserve"> </w:t>
      </w:r>
      <w:bookmarkEnd w:id="102"/>
    </w:p>
    <w:p w:rsidR="009B70FF" w:rsidRDefault="009B70FF" w:rsidP="009B70FF">
      <w:pPr>
        <w:ind w:firstLine="708"/>
        <w:rPr>
          <w:rStyle w:val="dn"/>
          <w:rFonts w:eastAsia="Times New Roman" w:cs="Times New Roman"/>
          <w:szCs w:val="24"/>
        </w:rPr>
      </w:pPr>
      <w:r>
        <w:rPr>
          <w:rStyle w:val="dn"/>
          <w:szCs w:val="24"/>
        </w:rPr>
        <w:t xml:space="preserve">Spolu s místní příslušností soudních exekutorů, vyvstává </w:t>
      </w:r>
      <w:r>
        <w:rPr>
          <w:rStyle w:val="dn"/>
          <w:szCs w:val="24"/>
          <w:lang w:val="it-IT"/>
        </w:rPr>
        <w:t>dal</w:t>
      </w:r>
      <w:r>
        <w:rPr>
          <w:rStyle w:val="dn"/>
          <w:szCs w:val="24"/>
        </w:rPr>
        <w:t>ší probl</w:t>
      </w:r>
      <w:r>
        <w:rPr>
          <w:rStyle w:val="dn"/>
          <w:szCs w:val="24"/>
          <w:lang w:val="fr-FR"/>
        </w:rPr>
        <w:t>é</w:t>
      </w:r>
      <w:r>
        <w:rPr>
          <w:rStyle w:val="dn"/>
          <w:szCs w:val="24"/>
        </w:rPr>
        <w:t>m spojený s </w:t>
      </w:r>
      <w:r>
        <w:rPr>
          <w:rStyle w:val="dn"/>
          <w:szCs w:val="24"/>
          <w:lang w:val="pt-PT"/>
        </w:rPr>
        <w:t>exeku</w:t>
      </w:r>
      <w:r>
        <w:rPr>
          <w:rStyle w:val="dn"/>
          <w:szCs w:val="24"/>
        </w:rPr>
        <w:t>čním řízením, a to jeho koncentrace. Koncentrace exekučního řízení se projednává ve spojitosti s dlouho projednávanou novelou exekučního řádu. Zatímco zavedení místní příslušnosti má velkou podporu v Exekutorsk</w:t>
      </w:r>
      <w:r>
        <w:rPr>
          <w:rStyle w:val="dn"/>
          <w:szCs w:val="24"/>
          <w:lang w:val="fr-FR"/>
        </w:rPr>
        <w:t xml:space="preserve">é </w:t>
      </w:r>
      <w:r>
        <w:rPr>
          <w:rStyle w:val="dn"/>
          <w:szCs w:val="24"/>
        </w:rPr>
        <w:t>komoře, koncentrace soudního řízení nebo taky tzv. superexekuci, členov</w:t>
      </w:r>
      <w:r>
        <w:rPr>
          <w:rStyle w:val="dn"/>
          <w:szCs w:val="24"/>
          <w:lang w:val="fr-FR"/>
        </w:rPr>
        <w:t xml:space="preserve">é </w:t>
      </w:r>
      <w:r>
        <w:rPr>
          <w:rStyle w:val="dn"/>
          <w:szCs w:val="24"/>
        </w:rPr>
        <w:t>Exekutorsk</w:t>
      </w:r>
      <w:r>
        <w:rPr>
          <w:rStyle w:val="dn"/>
          <w:szCs w:val="24"/>
          <w:lang w:val="fr-FR"/>
        </w:rPr>
        <w:t xml:space="preserve">é </w:t>
      </w:r>
      <w:r>
        <w:rPr>
          <w:rStyle w:val="dn"/>
          <w:szCs w:val="24"/>
        </w:rPr>
        <w:t>komory striktně odmítají. Princip koncentrace exekučního řízení spočívá v tom, že si oprávněný, jenž podává návrh na exekuci proti osobě, která doposud žádnou exekuci nemá, bude moci zvolit jak</w:t>
      </w:r>
      <w:r>
        <w:rPr>
          <w:rStyle w:val="dn"/>
          <w:szCs w:val="24"/>
          <w:lang w:val="fr-FR"/>
        </w:rPr>
        <w:t>é</w:t>
      </w:r>
      <w:r>
        <w:rPr>
          <w:rStyle w:val="dn"/>
          <w:szCs w:val="24"/>
        </w:rPr>
        <w:t xml:space="preserve">hokoliv exekutora. Zároveň pak každý následující </w:t>
      </w:r>
      <w:r>
        <w:rPr>
          <w:rStyle w:val="dn"/>
          <w:szCs w:val="24"/>
          <w:lang w:val="pt-PT"/>
        </w:rPr>
        <w:t>exeku</w:t>
      </w:r>
      <w:r>
        <w:rPr>
          <w:rStyle w:val="dn"/>
          <w:szCs w:val="24"/>
        </w:rPr>
        <w:t>ční návrh, od jak</w:t>
      </w:r>
      <w:r>
        <w:rPr>
          <w:rStyle w:val="dn"/>
          <w:szCs w:val="24"/>
          <w:lang w:val="fr-FR"/>
        </w:rPr>
        <w:t>é</w:t>
      </w:r>
      <w:r>
        <w:rPr>
          <w:rStyle w:val="dn"/>
          <w:szCs w:val="24"/>
        </w:rPr>
        <w:t>hokoliv oprávněn</w:t>
      </w:r>
      <w:r>
        <w:rPr>
          <w:rStyle w:val="dn"/>
          <w:szCs w:val="24"/>
          <w:lang w:val="fr-FR"/>
        </w:rPr>
        <w:t>é</w:t>
      </w:r>
      <w:r>
        <w:rPr>
          <w:rStyle w:val="dn"/>
          <w:szCs w:val="24"/>
        </w:rPr>
        <w:t>ho proti stejn</w:t>
      </w:r>
      <w:r>
        <w:rPr>
          <w:rStyle w:val="dn"/>
          <w:szCs w:val="24"/>
          <w:lang w:val="fr-FR"/>
        </w:rPr>
        <w:t>é</w:t>
      </w:r>
      <w:r>
        <w:rPr>
          <w:rStyle w:val="dn"/>
          <w:szCs w:val="24"/>
        </w:rPr>
        <w:t>mu povinn</w:t>
      </w:r>
      <w:r>
        <w:rPr>
          <w:rStyle w:val="dn"/>
          <w:szCs w:val="24"/>
          <w:lang w:val="fr-FR"/>
        </w:rPr>
        <w:t>é</w:t>
      </w:r>
      <w:r>
        <w:rPr>
          <w:rStyle w:val="dn"/>
          <w:szCs w:val="24"/>
        </w:rPr>
        <w:t>mu, bude muset být podána u stejn</w:t>
      </w:r>
      <w:r>
        <w:rPr>
          <w:rStyle w:val="dn"/>
          <w:szCs w:val="24"/>
          <w:lang w:val="fr-FR"/>
        </w:rPr>
        <w:t>é</w:t>
      </w:r>
      <w:r>
        <w:rPr>
          <w:rStyle w:val="dn"/>
          <w:szCs w:val="24"/>
        </w:rPr>
        <w:t xml:space="preserve">ho soudního exekutora, který byl při první exekuci zvolen oprávněným. V praxi to bude znamenat následující: Pokud bude mít povinný trvalý pobyt v Bechyni a první </w:t>
      </w:r>
      <w:r>
        <w:rPr>
          <w:rStyle w:val="dn"/>
          <w:szCs w:val="24"/>
          <w:lang w:val="it-IT"/>
        </w:rPr>
        <w:t>opr</w:t>
      </w:r>
      <w:r>
        <w:rPr>
          <w:rStyle w:val="dn"/>
          <w:szCs w:val="24"/>
        </w:rPr>
        <w:t xml:space="preserve">ávněný podal návrh na exekuci u soudního exekutora v Chebu, bude pak muset každý </w:t>
      </w:r>
      <w:r>
        <w:rPr>
          <w:rStyle w:val="dn"/>
          <w:szCs w:val="24"/>
          <w:lang w:val="it-IT"/>
        </w:rPr>
        <w:t>dal</w:t>
      </w:r>
      <w:r>
        <w:rPr>
          <w:rStyle w:val="dn"/>
          <w:szCs w:val="24"/>
        </w:rPr>
        <w:t xml:space="preserve">ší </w:t>
      </w:r>
      <w:r>
        <w:rPr>
          <w:rStyle w:val="dn"/>
          <w:szCs w:val="24"/>
          <w:lang w:val="it-IT"/>
        </w:rPr>
        <w:t>opr</w:t>
      </w:r>
      <w:r>
        <w:rPr>
          <w:rStyle w:val="dn"/>
          <w:szCs w:val="24"/>
        </w:rPr>
        <w:t xml:space="preserve">ávněný </w:t>
      </w:r>
      <w:r>
        <w:rPr>
          <w:rStyle w:val="dn"/>
          <w:szCs w:val="24"/>
          <w:lang w:val="nl-NL"/>
        </w:rPr>
        <w:t>podat exeku</w:t>
      </w:r>
      <w:r>
        <w:rPr>
          <w:rStyle w:val="dn"/>
          <w:szCs w:val="24"/>
        </w:rPr>
        <w:t>ční návrh u stejn</w:t>
      </w:r>
      <w:r>
        <w:rPr>
          <w:rStyle w:val="dn"/>
          <w:szCs w:val="24"/>
          <w:lang w:val="fr-FR"/>
        </w:rPr>
        <w:t>é</w:t>
      </w:r>
      <w:r>
        <w:rPr>
          <w:rStyle w:val="dn"/>
          <w:szCs w:val="24"/>
          <w:lang w:val="pt-PT"/>
        </w:rPr>
        <w:t>ho exekutora se s</w:t>
      </w:r>
      <w:r>
        <w:rPr>
          <w:rStyle w:val="dn"/>
          <w:szCs w:val="24"/>
        </w:rPr>
        <w:t>ídlem v </w:t>
      </w:r>
      <w:r>
        <w:rPr>
          <w:rStyle w:val="dn"/>
          <w:szCs w:val="24"/>
          <w:lang w:val="nl-NL"/>
        </w:rPr>
        <w:t xml:space="preserve">Chebu. </w:t>
      </w:r>
      <w:r>
        <w:rPr>
          <w:rStyle w:val="dn"/>
          <w:rFonts w:eastAsia="Times New Roman" w:cs="Times New Roman"/>
          <w:szCs w:val="24"/>
          <w:vertAlign w:val="superscript"/>
        </w:rPr>
        <w:footnoteReference w:id="130"/>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Výsledkem je tzv. syst</w:t>
      </w:r>
      <w:r>
        <w:rPr>
          <w:rStyle w:val="dn"/>
          <w:szCs w:val="24"/>
          <w:lang w:val="fr-FR"/>
        </w:rPr>
        <w:t>é</w:t>
      </w:r>
      <w:r>
        <w:rPr>
          <w:rStyle w:val="dn"/>
          <w:szCs w:val="24"/>
          <w:lang w:val="nl-NL"/>
        </w:rPr>
        <w:t>m sn</w:t>
      </w:r>
      <w:r>
        <w:rPr>
          <w:rStyle w:val="dn"/>
          <w:szCs w:val="24"/>
        </w:rPr>
        <w:t>ě</w:t>
      </w:r>
      <w:r>
        <w:rPr>
          <w:rStyle w:val="dn"/>
          <w:szCs w:val="24"/>
          <w:lang w:val="de-DE"/>
        </w:rPr>
        <w:t>hul</w:t>
      </w:r>
      <w:r>
        <w:rPr>
          <w:rStyle w:val="dn"/>
          <w:szCs w:val="24"/>
        </w:rPr>
        <w:t>áka neboli uměl</w:t>
      </w:r>
      <w:r>
        <w:rPr>
          <w:rStyle w:val="dn"/>
          <w:szCs w:val="24"/>
          <w:lang w:val="fr-FR"/>
        </w:rPr>
        <w:t xml:space="preserve">é </w:t>
      </w:r>
      <w:r>
        <w:rPr>
          <w:rStyle w:val="dn"/>
          <w:szCs w:val="24"/>
        </w:rPr>
        <w:t xml:space="preserve">nabalování </w:t>
      </w:r>
      <w:r>
        <w:rPr>
          <w:rStyle w:val="dn"/>
          <w:szCs w:val="24"/>
          <w:lang w:val="pt-PT"/>
        </w:rPr>
        <w:t>exeku</w:t>
      </w:r>
      <w:r>
        <w:rPr>
          <w:rStyle w:val="dn"/>
          <w:szCs w:val="24"/>
        </w:rPr>
        <w:t>ční agendy. Podle některý</w:t>
      </w:r>
      <w:r>
        <w:rPr>
          <w:rStyle w:val="dn"/>
          <w:szCs w:val="24"/>
          <w:lang w:val="de-DE"/>
        </w:rPr>
        <w:t>ch n</w:t>
      </w:r>
      <w:r>
        <w:rPr>
          <w:rStyle w:val="dn"/>
          <w:szCs w:val="24"/>
        </w:rPr>
        <w:t>ázorů má syst</w:t>
      </w:r>
      <w:r>
        <w:rPr>
          <w:rStyle w:val="dn"/>
          <w:szCs w:val="24"/>
          <w:lang w:val="fr-FR"/>
        </w:rPr>
        <w:t>é</w:t>
      </w:r>
      <w:r>
        <w:rPr>
          <w:rStyle w:val="dn"/>
          <w:szCs w:val="24"/>
          <w:lang w:val="nl-NL"/>
        </w:rPr>
        <w:t>m sn</w:t>
      </w:r>
      <w:r>
        <w:rPr>
          <w:rStyle w:val="dn"/>
          <w:szCs w:val="24"/>
        </w:rPr>
        <w:t>ě</w:t>
      </w:r>
      <w:r>
        <w:rPr>
          <w:rStyle w:val="dn"/>
          <w:szCs w:val="24"/>
          <w:lang w:val="de-DE"/>
        </w:rPr>
        <w:t>hul</w:t>
      </w:r>
      <w:r>
        <w:rPr>
          <w:rStyle w:val="dn"/>
          <w:szCs w:val="24"/>
        </w:rPr>
        <w:t>áka likvidovat průměrn</w:t>
      </w:r>
      <w:r>
        <w:rPr>
          <w:rStyle w:val="dn"/>
          <w:szCs w:val="24"/>
          <w:lang w:val="fr-FR"/>
        </w:rPr>
        <w:t xml:space="preserve">é </w:t>
      </w:r>
      <w:r>
        <w:rPr>
          <w:rStyle w:val="dn"/>
          <w:szCs w:val="24"/>
        </w:rPr>
        <w:t>exekutorské úřady, jež vedou v </w:t>
      </w:r>
      <w:r>
        <w:rPr>
          <w:rStyle w:val="dn"/>
          <w:szCs w:val="24"/>
          <w:lang w:val="it-IT"/>
        </w:rPr>
        <w:t>drtiv</w:t>
      </w:r>
      <w:r>
        <w:rPr>
          <w:rStyle w:val="dn"/>
          <w:szCs w:val="24"/>
          <w:lang w:val="fr-FR"/>
        </w:rPr>
        <w:t xml:space="preserve">é </w:t>
      </w:r>
      <w:r>
        <w:rPr>
          <w:rStyle w:val="dn"/>
          <w:szCs w:val="24"/>
        </w:rPr>
        <w:t>většině mladí soudní exekutoři. Syst</w:t>
      </w:r>
      <w:r>
        <w:rPr>
          <w:rStyle w:val="dn"/>
          <w:szCs w:val="24"/>
          <w:lang w:val="fr-FR"/>
        </w:rPr>
        <w:t>é</w:t>
      </w:r>
      <w:r>
        <w:rPr>
          <w:rStyle w:val="dn"/>
          <w:szCs w:val="24"/>
          <w:lang w:val="nl-NL"/>
        </w:rPr>
        <w:t>m sn</w:t>
      </w:r>
      <w:r>
        <w:rPr>
          <w:rStyle w:val="dn"/>
          <w:szCs w:val="24"/>
        </w:rPr>
        <w:t>ě</w:t>
      </w:r>
      <w:r>
        <w:rPr>
          <w:rStyle w:val="dn"/>
          <w:szCs w:val="24"/>
          <w:lang w:val="de-DE"/>
        </w:rPr>
        <w:t>hul</w:t>
      </w:r>
      <w:r>
        <w:rPr>
          <w:rStyle w:val="dn"/>
          <w:szCs w:val="24"/>
        </w:rPr>
        <w:t>áka je pro někter</w:t>
      </w:r>
      <w:r>
        <w:rPr>
          <w:rStyle w:val="dn"/>
          <w:szCs w:val="24"/>
          <w:lang w:val="fr-FR"/>
        </w:rPr>
        <w:t xml:space="preserve">é </w:t>
      </w:r>
      <w:r>
        <w:rPr>
          <w:rStyle w:val="dn"/>
          <w:szCs w:val="24"/>
        </w:rPr>
        <w:t>velmi nežádoucí, jelikož pomíjí geografick</w:t>
      </w:r>
      <w:r>
        <w:rPr>
          <w:rStyle w:val="dn"/>
          <w:szCs w:val="24"/>
          <w:lang w:val="fr-FR"/>
        </w:rPr>
        <w:t xml:space="preserve">é </w:t>
      </w:r>
      <w:r>
        <w:rPr>
          <w:rStyle w:val="dn"/>
          <w:szCs w:val="24"/>
        </w:rPr>
        <w:t xml:space="preserve">hledisko. První </w:t>
      </w:r>
      <w:r>
        <w:rPr>
          <w:rStyle w:val="dn"/>
          <w:szCs w:val="24"/>
          <w:lang w:val="it-IT"/>
        </w:rPr>
        <w:t>opr</w:t>
      </w:r>
      <w:r>
        <w:rPr>
          <w:rStyle w:val="dn"/>
          <w:szCs w:val="24"/>
        </w:rPr>
        <w:t>ávněný si totiž může vybrat, u kter</w:t>
      </w:r>
      <w:r>
        <w:rPr>
          <w:rStyle w:val="dn"/>
          <w:szCs w:val="24"/>
          <w:lang w:val="fr-FR"/>
        </w:rPr>
        <w:t>é</w:t>
      </w:r>
      <w:r>
        <w:rPr>
          <w:rStyle w:val="dn"/>
          <w:szCs w:val="24"/>
        </w:rPr>
        <w:t xml:space="preserve">ho exekutora bude pohledávka vymáhána, kdežto ostatní se již musí řídit jeho volbou. Tímto by nová úprava zakládala protiústavní postavení mezi oprávněnými, jelikož </w:t>
      </w:r>
      <w:r>
        <w:rPr>
          <w:rStyle w:val="dn"/>
          <w:szCs w:val="24"/>
          <w:lang w:val="it-IT"/>
        </w:rPr>
        <w:t>dal</w:t>
      </w:r>
      <w:r>
        <w:rPr>
          <w:rStyle w:val="dn"/>
          <w:szCs w:val="24"/>
        </w:rPr>
        <w:t>ším oprávněným bude volba výběru soudního exekutora odňata. Tato novela by zároveň dala velký prostor pro korupční jednání ve vztahu k prvnímu oprávněn</w:t>
      </w:r>
      <w:r>
        <w:rPr>
          <w:rStyle w:val="dn"/>
          <w:szCs w:val="24"/>
          <w:lang w:val="fr-FR"/>
        </w:rPr>
        <w:t>é</w:t>
      </w:r>
      <w:r>
        <w:rPr>
          <w:rStyle w:val="dn"/>
          <w:szCs w:val="24"/>
        </w:rPr>
        <w:t xml:space="preserve">mu, jelikož nejrychlejší </w:t>
      </w:r>
      <w:r>
        <w:rPr>
          <w:rStyle w:val="dn"/>
          <w:szCs w:val="24"/>
          <w:lang w:val="it-IT"/>
        </w:rPr>
        <w:t>opr</w:t>
      </w:r>
      <w:r>
        <w:rPr>
          <w:rStyle w:val="dn"/>
          <w:szCs w:val="24"/>
        </w:rPr>
        <w:t>ávněný si vybere exekutora a ten pot</w:t>
      </w:r>
      <w:r>
        <w:rPr>
          <w:rStyle w:val="dn"/>
          <w:szCs w:val="24"/>
          <w:lang w:val="fr-FR"/>
        </w:rPr>
        <w:t xml:space="preserve">é </w:t>
      </w:r>
      <w:r>
        <w:rPr>
          <w:rStyle w:val="dn"/>
          <w:szCs w:val="24"/>
        </w:rPr>
        <w:t xml:space="preserve">získává veškerá </w:t>
      </w:r>
      <w:r>
        <w:rPr>
          <w:rStyle w:val="dn"/>
          <w:szCs w:val="24"/>
          <w:lang w:val="it-IT"/>
        </w:rPr>
        <w:t>dal</w:t>
      </w:r>
      <w:r>
        <w:rPr>
          <w:rStyle w:val="dn"/>
          <w:szCs w:val="24"/>
        </w:rPr>
        <w:t xml:space="preserve">ší řízení, a tím vznikne boj o exekuční tituly. </w:t>
      </w:r>
      <w:r>
        <w:rPr>
          <w:rStyle w:val="dn"/>
          <w:rFonts w:eastAsia="Times New Roman" w:cs="Times New Roman"/>
          <w:szCs w:val="24"/>
          <w:vertAlign w:val="superscript"/>
        </w:rPr>
        <w:footnoteReference w:id="131"/>
      </w:r>
      <w:r>
        <w:rPr>
          <w:rStyle w:val="dn"/>
          <w:szCs w:val="24"/>
        </w:rPr>
        <w:t xml:space="preserve"> </w:t>
      </w:r>
    </w:p>
    <w:p w:rsidR="009B70FF" w:rsidRDefault="009B70FF" w:rsidP="007A2179">
      <w:pPr>
        <w:pStyle w:val="Nadpis2"/>
        <w:numPr>
          <w:ilvl w:val="1"/>
          <w:numId w:val="35"/>
        </w:numPr>
        <w:pBdr>
          <w:top w:val="nil"/>
          <w:left w:val="nil"/>
          <w:bottom w:val="nil"/>
          <w:right w:val="nil"/>
          <w:between w:val="nil"/>
          <w:bar w:val="nil"/>
        </w:pBdr>
        <w:spacing w:before="260" w:after="260" w:line="240" w:lineRule="auto"/>
        <w:ind w:left="709" w:hanging="709"/>
        <w:jc w:val="left"/>
        <w:rPr>
          <w:rFonts w:eastAsia="Times New Roman" w:cs="Times New Roman"/>
          <w:color w:val="000000"/>
        </w:rPr>
      </w:pPr>
      <w:bookmarkStart w:id="103" w:name="_Toc18276749"/>
      <w:bookmarkStart w:id="104" w:name="_Toc18313969"/>
      <w:bookmarkStart w:id="105" w:name="_Toc34"/>
      <w:r>
        <w:rPr>
          <w:rStyle w:val="dn"/>
          <w:color w:val="000000"/>
          <w:u w:color="000000"/>
        </w:rPr>
        <w:t>Rozhovor se soudním exekutorem</w:t>
      </w:r>
      <w:bookmarkEnd w:id="103"/>
      <w:bookmarkEnd w:id="104"/>
      <w:r>
        <w:rPr>
          <w:rStyle w:val="dn"/>
          <w:color w:val="000000"/>
          <w:u w:color="000000"/>
        </w:rPr>
        <w:t xml:space="preserve"> </w:t>
      </w:r>
      <w:bookmarkEnd w:id="105"/>
    </w:p>
    <w:p w:rsidR="009B70FF" w:rsidRDefault="009B70FF" w:rsidP="009B70FF">
      <w:pPr>
        <w:pStyle w:val="Default"/>
        <w:spacing w:line="360" w:lineRule="auto"/>
        <w:ind w:firstLine="708"/>
        <w:jc w:val="both"/>
      </w:pPr>
      <w:r>
        <w:rPr>
          <w:rStyle w:val="dn"/>
          <w:sz w:val="23"/>
          <w:szCs w:val="23"/>
        </w:rPr>
        <w:t>K vypracování m</w:t>
      </w:r>
      <w:r>
        <w:rPr>
          <w:rStyle w:val="dn"/>
          <w:sz w:val="23"/>
          <w:szCs w:val="23"/>
          <w:lang w:val="fr-FR"/>
        </w:rPr>
        <w:t xml:space="preserve">é </w:t>
      </w:r>
      <w:r>
        <w:rPr>
          <w:rStyle w:val="dn"/>
          <w:sz w:val="23"/>
          <w:szCs w:val="23"/>
        </w:rPr>
        <w:t>bakalářsk</w:t>
      </w:r>
      <w:r>
        <w:rPr>
          <w:rStyle w:val="dn"/>
          <w:sz w:val="23"/>
          <w:szCs w:val="23"/>
          <w:lang w:val="fr-FR"/>
        </w:rPr>
        <w:t xml:space="preserve">é </w:t>
      </w:r>
      <w:r>
        <w:rPr>
          <w:rStyle w:val="dn"/>
          <w:sz w:val="23"/>
          <w:szCs w:val="23"/>
        </w:rPr>
        <w:t xml:space="preserve">práce mi byl poskytnut rozhovor se soudní exekutorkou </w:t>
      </w:r>
      <w:r>
        <w:t>Mgr. Zuzanou Sobíškovou, absolventkou právnick</w:t>
      </w:r>
      <w:r>
        <w:rPr>
          <w:lang w:val="fr-FR"/>
        </w:rPr>
        <w:t xml:space="preserve">é </w:t>
      </w:r>
      <w:r>
        <w:t>fakulty, Univerzity Karlovy v Praze, v současn</w:t>
      </w:r>
      <w:r>
        <w:rPr>
          <w:lang w:val="fr-FR"/>
        </w:rPr>
        <w:t xml:space="preserve">é </w:t>
      </w:r>
      <w:r>
        <w:t>době pů</w:t>
      </w:r>
      <w:r>
        <w:rPr>
          <w:lang w:val="es-ES_tradnl"/>
        </w:rPr>
        <w:t>sob</w:t>
      </w:r>
      <w:r>
        <w:t>ící jako soudní exekutor na Exekutorsk</w:t>
      </w:r>
      <w:r>
        <w:rPr>
          <w:lang w:val="fr-FR"/>
        </w:rPr>
        <w:t>é</w:t>
      </w:r>
      <w:r>
        <w:t>m úřadě Praha 6, zároveň fungující jako přidružený člen právní a legislativní komise EKČR a člen uskupení Exekutoři za spravedliv</w:t>
      </w:r>
      <w:r>
        <w:rPr>
          <w:lang w:val="fr-FR"/>
        </w:rPr>
        <w:t xml:space="preserve">é </w:t>
      </w:r>
      <w:r>
        <w:t>exekuce. Tento rozhovor jsem použila i v t</w:t>
      </w:r>
      <w:r>
        <w:rPr>
          <w:lang w:val="fr-FR"/>
        </w:rPr>
        <w:t>é</w:t>
      </w:r>
      <w:r>
        <w:rPr>
          <w:lang w:val="it-IT"/>
        </w:rPr>
        <w:t>to diplomov</w:t>
      </w:r>
      <w:r>
        <w:rPr>
          <w:lang w:val="fr-FR"/>
        </w:rPr>
        <w:t xml:space="preserve">é </w:t>
      </w:r>
      <w:r>
        <w:t>práci jakožto klíčový k t</w:t>
      </w:r>
      <w:r>
        <w:rPr>
          <w:lang w:val="fr-FR"/>
        </w:rPr>
        <w:t>é</w:t>
      </w:r>
      <w:r>
        <w:t>matu soudních exekutorů, ale i jejich příslušnosti, kterým se v </w:t>
      </w:r>
      <w:r>
        <w:rPr>
          <w:lang w:val="it-IT"/>
        </w:rPr>
        <w:t>kapitol</w:t>
      </w:r>
      <w:r>
        <w:t xml:space="preserve">ách výše věnuji. </w:t>
      </w:r>
    </w:p>
    <w:p w:rsidR="009B70FF" w:rsidRDefault="009B70FF" w:rsidP="009B70FF">
      <w:pPr>
        <w:pStyle w:val="Default"/>
        <w:spacing w:line="360" w:lineRule="auto"/>
        <w:jc w:val="both"/>
      </w:pPr>
      <w:r>
        <w:rPr>
          <w:rStyle w:val="dn"/>
          <w:b/>
          <w:bCs/>
        </w:rPr>
        <w:t>1. Na začátku našeho rozhovoru bych se vá</w:t>
      </w:r>
      <w:r>
        <w:rPr>
          <w:rStyle w:val="dn"/>
          <w:b/>
          <w:bCs/>
          <w:lang w:val="en-US"/>
        </w:rPr>
        <w:t>s r</w:t>
      </w:r>
      <w:r>
        <w:rPr>
          <w:rStyle w:val="dn"/>
          <w:b/>
          <w:bCs/>
        </w:rPr>
        <w:t xml:space="preserve">áda zeptala, proč jste se rozhodla zrovna pro povolání soudního exekutora? </w:t>
      </w:r>
    </w:p>
    <w:p w:rsidR="009B70FF" w:rsidRDefault="009B70FF" w:rsidP="009B70FF">
      <w:pPr>
        <w:pStyle w:val="Default"/>
        <w:spacing w:line="360" w:lineRule="auto"/>
        <w:jc w:val="both"/>
      </w:pPr>
    </w:p>
    <w:p w:rsidR="009B70FF" w:rsidRDefault="009B70FF" w:rsidP="009B70FF">
      <w:pPr>
        <w:pStyle w:val="Default"/>
        <w:spacing w:line="360" w:lineRule="auto"/>
        <w:jc w:val="both"/>
      </w:pPr>
      <w:r>
        <w:rPr>
          <w:rStyle w:val="dn"/>
          <w:i/>
          <w:iCs/>
        </w:rPr>
        <w:t>V průběhu studia na právnick</w:t>
      </w:r>
      <w:r>
        <w:rPr>
          <w:rStyle w:val="dn"/>
          <w:i/>
          <w:iCs/>
          <w:lang w:val="fr-FR"/>
        </w:rPr>
        <w:t xml:space="preserve">é </w:t>
      </w:r>
      <w:r>
        <w:rPr>
          <w:rStyle w:val="dn"/>
          <w:i/>
          <w:iCs/>
        </w:rPr>
        <w:t>fakultě jsem mě</w:t>
      </w:r>
      <w:r>
        <w:rPr>
          <w:rStyle w:val="dn"/>
          <w:i/>
          <w:iCs/>
          <w:lang w:val="fr-FR"/>
        </w:rPr>
        <w:t>la p</w:t>
      </w:r>
      <w:r>
        <w:rPr>
          <w:rStyle w:val="dn"/>
          <w:i/>
          <w:iCs/>
        </w:rPr>
        <w:t>říležitost získat dvousemestrovou praxi na soudu, a č</w:t>
      </w:r>
      <w:r>
        <w:rPr>
          <w:rStyle w:val="dn"/>
          <w:i/>
          <w:iCs/>
          <w:lang w:val="en-US"/>
        </w:rPr>
        <w:t>ty</w:t>
      </w:r>
      <w:r>
        <w:rPr>
          <w:rStyle w:val="dn"/>
          <w:i/>
          <w:iCs/>
        </w:rPr>
        <w:t>řsemestrovou praxi v advokátní kanceláři. Jak povolání soudce, tak advokáta jsem vždy měla vysoko na sv</w:t>
      </w:r>
      <w:r>
        <w:rPr>
          <w:rStyle w:val="dn"/>
          <w:i/>
          <w:iCs/>
          <w:lang w:val="fr-FR"/>
        </w:rPr>
        <w:t>é</w:t>
      </w:r>
      <w:r>
        <w:rPr>
          <w:rStyle w:val="dn"/>
          <w:i/>
          <w:iCs/>
        </w:rPr>
        <w:t>m žebříčku priorit. Musím ří</w:t>
      </w:r>
      <w:r>
        <w:rPr>
          <w:rStyle w:val="dn"/>
          <w:i/>
          <w:iCs/>
          <w:lang w:val="it-IT"/>
        </w:rPr>
        <w:t xml:space="preserve">ci, </w:t>
      </w:r>
      <w:r>
        <w:rPr>
          <w:rStyle w:val="dn"/>
          <w:i/>
          <w:iCs/>
        </w:rPr>
        <w:t>že po bsolvování studentsk</w:t>
      </w:r>
      <w:r>
        <w:rPr>
          <w:rStyle w:val="dn"/>
          <w:i/>
          <w:iCs/>
          <w:lang w:val="fr-FR"/>
        </w:rPr>
        <w:t xml:space="preserve">é </w:t>
      </w:r>
      <w:r>
        <w:rPr>
          <w:rStyle w:val="dn"/>
          <w:i/>
          <w:iCs/>
        </w:rPr>
        <w:t xml:space="preserve">praxe se tato povolání dostala spíše na spodní příčky. Moje zkušenost je taková, že soudci jsou, když </w:t>
      </w:r>
      <w:r>
        <w:rPr>
          <w:rStyle w:val="dn"/>
          <w:i/>
          <w:iCs/>
          <w:lang w:val="en-US"/>
        </w:rPr>
        <w:t>to p</w:t>
      </w:r>
      <w:r>
        <w:rPr>
          <w:rStyle w:val="dn"/>
          <w:i/>
          <w:iCs/>
        </w:rPr>
        <w:t>řež</w:t>
      </w:r>
      <w:r>
        <w:rPr>
          <w:rStyle w:val="dn"/>
          <w:i/>
          <w:iCs/>
          <w:lang w:val="fr-FR"/>
        </w:rPr>
        <w:t>enu, lep</w:t>
      </w:r>
      <w:r>
        <w:rPr>
          <w:rStyle w:val="dn"/>
          <w:i/>
          <w:iCs/>
        </w:rPr>
        <w:t>ší administrativní pracovníci, kteří se ke skutečn</w:t>
      </w:r>
      <w:r>
        <w:rPr>
          <w:rStyle w:val="dn"/>
          <w:i/>
          <w:iCs/>
          <w:lang w:val="fr-FR"/>
        </w:rPr>
        <w:t>é</w:t>
      </w:r>
      <w:r>
        <w:rPr>
          <w:rStyle w:val="dn"/>
          <w:i/>
          <w:iCs/>
        </w:rPr>
        <w:t>mu souzení a rozhodování dostanou přes ty hromady papírů jen svátečně</w:t>
      </w:r>
      <w:r>
        <w:rPr>
          <w:rStyle w:val="dn"/>
          <w:i/>
          <w:iCs/>
          <w:lang w:val="pt-PT"/>
        </w:rPr>
        <w:t>. No a advok</w:t>
      </w:r>
      <w:r>
        <w:rPr>
          <w:rStyle w:val="dn"/>
          <w:i/>
          <w:iCs/>
        </w:rPr>
        <w:t>áti jsou především obchodníci s právem. O pravdu, právo a spravedlnost jde až na posledním místě. Když jsem po škole přemýšlela, jakou cestou se tedy vydám, přišla mi do cesty nabídka jít pracovat na Exekutorský úřad coby exekutorský koncipient. Moc jsem o t</w:t>
      </w:r>
      <w:r>
        <w:rPr>
          <w:rStyle w:val="dn"/>
          <w:i/>
          <w:iCs/>
          <w:lang w:val="fr-FR"/>
        </w:rPr>
        <w:t>é</w:t>
      </w:r>
      <w:r>
        <w:rPr>
          <w:rStyle w:val="dn"/>
          <w:i/>
          <w:iCs/>
          <w:lang w:val="en-US"/>
        </w:rPr>
        <w:t>to bran</w:t>
      </w:r>
      <w:r>
        <w:rPr>
          <w:rStyle w:val="dn"/>
          <w:i/>
          <w:iCs/>
        </w:rPr>
        <w:t xml:space="preserve">ži nevěděla, ale zkusila jsem to. No a pak už </w:t>
      </w:r>
      <w:r>
        <w:rPr>
          <w:rStyle w:val="dn"/>
          <w:i/>
          <w:iCs/>
          <w:lang w:val="en-US"/>
        </w:rPr>
        <w:t xml:space="preserve">to </w:t>
      </w:r>
      <w:r>
        <w:rPr>
          <w:rStyle w:val="dn"/>
          <w:i/>
          <w:iCs/>
        </w:rPr>
        <w:t>š</w:t>
      </w:r>
      <w:r>
        <w:rPr>
          <w:rStyle w:val="dn"/>
          <w:i/>
          <w:iCs/>
          <w:lang w:val="it-IT"/>
        </w:rPr>
        <w:t>lo r</w:t>
      </w:r>
      <w:r>
        <w:rPr>
          <w:rStyle w:val="dn"/>
          <w:i/>
          <w:iCs/>
        </w:rPr>
        <w:t>áz na ráz, po třech letech jsem absolvovala exekutorsk</w:t>
      </w:r>
      <w:r>
        <w:rPr>
          <w:rStyle w:val="dn"/>
          <w:i/>
          <w:iCs/>
          <w:lang w:val="fr-FR"/>
        </w:rPr>
        <w:t xml:space="preserve">é </w:t>
      </w:r>
      <w:r>
        <w:rPr>
          <w:rStyle w:val="dn"/>
          <w:i/>
          <w:iCs/>
        </w:rPr>
        <w:t xml:space="preserve">zkoušky a za další dva roky vyhrála výběrové řízení na pozici exekutora. Musím uznat, že toto povolání </w:t>
      </w:r>
      <w:r>
        <w:rPr>
          <w:rStyle w:val="dn"/>
          <w:i/>
          <w:iCs/>
          <w:lang w:val="de-DE"/>
        </w:rPr>
        <w:t>nen</w:t>
      </w:r>
      <w:r>
        <w:rPr>
          <w:rStyle w:val="dn"/>
          <w:i/>
          <w:iCs/>
        </w:rPr>
        <w:t>í pro každ</w:t>
      </w:r>
      <w:r>
        <w:rPr>
          <w:rStyle w:val="dn"/>
          <w:i/>
          <w:iCs/>
          <w:lang w:val="fr-FR"/>
        </w:rPr>
        <w:t>é</w:t>
      </w:r>
      <w:r>
        <w:rPr>
          <w:rStyle w:val="dn"/>
          <w:i/>
          <w:iCs/>
        </w:rPr>
        <w:t>ho, nicm</w:t>
      </w:r>
      <w:r>
        <w:rPr>
          <w:rStyle w:val="dn"/>
          <w:i/>
          <w:iCs/>
          <w:lang w:val="fr-FR"/>
        </w:rPr>
        <w:t>é</w:t>
      </w:r>
      <w:r>
        <w:rPr>
          <w:rStyle w:val="dn"/>
          <w:i/>
          <w:iCs/>
        </w:rPr>
        <w:t xml:space="preserve">ně </w:t>
      </w:r>
      <w:r>
        <w:rPr>
          <w:rStyle w:val="dn"/>
          <w:i/>
          <w:iCs/>
          <w:lang w:val="da-DK"/>
        </w:rPr>
        <w:t>medi</w:t>
      </w:r>
      <w:r>
        <w:rPr>
          <w:rStyle w:val="dn"/>
          <w:i/>
          <w:iCs/>
        </w:rPr>
        <w:t xml:space="preserve">ální obraz exekutorů zdaleka neodpovídá </w:t>
      </w:r>
      <w:r>
        <w:rPr>
          <w:rStyle w:val="dn"/>
          <w:i/>
          <w:iCs/>
          <w:lang w:val="en-US"/>
        </w:rPr>
        <w:t>realit</w:t>
      </w:r>
      <w:r>
        <w:rPr>
          <w:rStyle w:val="dn"/>
          <w:i/>
          <w:iCs/>
        </w:rPr>
        <w:t xml:space="preserve">ě. </w:t>
      </w:r>
    </w:p>
    <w:p w:rsidR="009B70FF" w:rsidRDefault="009B70FF" w:rsidP="009B70FF">
      <w:pPr>
        <w:pStyle w:val="Default"/>
        <w:spacing w:line="360" w:lineRule="auto"/>
        <w:jc w:val="both"/>
      </w:pPr>
      <w:r>
        <w:rPr>
          <w:rStyle w:val="dn"/>
          <w:b/>
          <w:bCs/>
        </w:rPr>
        <w:t>2. Je mi jasn</w:t>
      </w:r>
      <w:r>
        <w:rPr>
          <w:rStyle w:val="dn"/>
          <w:b/>
          <w:bCs/>
          <w:lang w:val="fr-FR"/>
        </w:rPr>
        <w:t>é</w:t>
      </w:r>
      <w:r>
        <w:rPr>
          <w:rStyle w:val="dn"/>
          <w:b/>
          <w:bCs/>
        </w:rPr>
        <w:t>, že možná právě díky m</w:t>
      </w:r>
      <w:r>
        <w:rPr>
          <w:rStyle w:val="dn"/>
          <w:b/>
          <w:bCs/>
          <w:lang w:val="fr-FR"/>
        </w:rPr>
        <w:t>é</w:t>
      </w:r>
      <w:r>
        <w:rPr>
          <w:rStyle w:val="dn"/>
          <w:b/>
          <w:bCs/>
        </w:rPr>
        <w:t xml:space="preserve">diím, jste se jako soudní exekutorka jistě setkala se spoustou kritiky na vaše povolání. Jak se proti těmto názorům obrňujete? </w:t>
      </w:r>
    </w:p>
    <w:p w:rsidR="009B70FF" w:rsidRDefault="009B70FF" w:rsidP="009B70FF">
      <w:pPr>
        <w:pStyle w:val="Default"/>
        <w:spacing w:line="360" w:lineRule="auto"/>
        <w:jc w:val="both"/>
      </w:pPr>
    </w:p>
    <w:p w:rsidR="009B70FF" w:rsidRDefault="009B70FF" w:rsidP="009B70FF">
      <w:pPr>
        <w:pStyle w:val="Default"/>
        <w:spacing w:line="360" w:lineRule="auto"/>
        <w:jc w:val="both"/>
        <w:rPr>
          <w:rStyle w:val="dn"/>
        </w:rPr>
      </w:pPr>
      <w:r>
        <w:rPr>
          <w:rStyle w:val="dn"/>
          <w:i/>
          <w:iCs/>
        </w:rPr>
        <w:t xml:space="preserve">Já </w:t>
      </w:r>
      <w:r>
        <w:rPr>
          <w:rStyle w:val="dn"/>
          <w:i/>
          <w:iCs/>
          <w:lang w:val="it-IT"/>
        </w:rPr>
        <w:t>raz</w:t>
      </w:r>
      <w:r>
        <w:rPr>
          <w:rStyle w:val="dn"/>
          <w:i/>
          <w:iCs/>
        </w:rPr>
        <w:t>ím teorii, že každá prá</w:t>
      </w:r>
      <w:r>
        <w:rPr>
          <w:rStyle w:val="dn"/>
          <w:i/>
          <w:iCs/>
          <w:lang w:val="es-ES_tradnl"/>
        </w:rPr>
        <w:t>ce se d</w:t>
      </w:r>
      <w:r>
        <w:rPr>
          <w:rStyle w:val="dn"/>
          <w:i/>
          <w:iCs/>
        </w:rPr>
        <w:t>á dě</w:t>
      </w:r>
      <w:r>
        <w:rPr>
          <w:rStyle w:val="dn"/>
          <w:i/>
          <w:iCs/>
          <w:lang w:val="sv-SE"/>
        </w:rPr>
        <w:t>lat slu</w:t>
      </w:r>
      <w:r>
        <w:rPr>
          <w:rStyle w:val="dn"/>
          <w:i/>
          <w:iCs/>
        </w:rPr>
        <w:t>šně a jsem přesvědčená, že většina exekutorů ji tak tak</w:t>
      </w:r>
      <w:r>
        <w:rPr>
          <w:rStyle w:val="dn"/>
          <w:i/>
          <w:iCs/>
          <w:lang w:val="fr-FR"/>
        </w:rPr>
        <w:t xml:space="preserve">é </w:t>
      </w:r>
      <w:r>
        <w:rPr>
          <w:rStyle w:val="dn"/>
          <w:i/>
          <w:iCs/>
        </w:rPr>
        <w:t>dělá. M</w:t>
      </w:r>
      <w:r>
        <w:rPr>
          <w:rStyle w:val="dn"/>
          <w:i/>
          <w:iCs/>
          <w:lang w:val="fr-FR"/>
        </w:rPr>
        <w:t>é</w:t>
      </w:r>
      <w:r>
        <w:rPr>
          <w:rStyle w:val="dn"/>
          <w:i/>
          <w:iCs/>
        </w:rPr>
        <w:t xml:space="preserve">dia ale nechtějí </w:t>
      </w:r>
      <w:r>
        <w:rPr>
          <w:rStyle w:val="dn"/>
          <w:i/>
          <w:iCs/>
          <w:lang w:val="en-US"/>
        </w:rPr>
        <w:t>sly</w:t>
      </w:r>
      <w:r>
        <w:rPr>
          <w:rStyle w:val="dn"/>
          <w:i/>
          <w:iCs/>
        </w:rPr>
        <w:t>š</w:t>
      </w:r>
      <w:r>
        <w:rPr>
          <w:rStyle w:val="dn"/>
          <w:i/>
          <w:iCs/>
          <w:lang w:val="da-DK"/>
        </w:rPr>
        <w:t xml:space="preserve">et, </w:t>
      </w:r>
      <w:r>
        <w:rPr>
          <w:rStyle w:val="dn"/>
          <w:i/>
          <w:iCs/>
        </w:rPr>
        <w:t>že se ně</w:t>
      </w:r>
      <w:r>
        <w:rPr>
          <w:rStyle w:val="dn"/>
          <w:i/>
          <w:iCs/>
          <w:lang w:val="it-IT"/>
        </w:rPr>
        <w:t>co da</w:t>
      </w:r>
      <w:r>
        <w:rPr>
          <w:rStyle w:val="dn"/>
          <w:i/>
          <w:iCs/>
        </w:rPr>
        <w:t>ří nebo že spoustě lidí pomůžeme, je zajímají jen skandá</w:t>
      </w:r>
      <w:r>
        <w:rPr>
          <w:rStyle w:val="dn"/>
          <w:i/>
          <w:iCs/>
          <w:lang w:val="nl-NL"/>
        </w:rPr>
        <w:t>ly. Ze za</w:t>
      </w:r>
      <w:r>
        <w:rPr>
          <w:rStyle w:val="dn"/>
          <w:i/>
          <w:iCs/>
        </w:rPr>
        <w:t>čátku jsem to skutečně prožívala, s vášněmi sledovala každou televizní debatu nebo článek na internetu. Dnes už vím, že to nemá smysl, pro mě je důležit</w:t>
      </w:r>
      <w:r>
        <w:rPr>
          <w:rStyle w:val="dn"/>
          <w:i/>
          <w:iCs/>
          <w:lang w:val="fr-FR"/>
        </w:rPr>
        <w:t>é</w:t>
      </w:r>
      <w:r>
        <w:rPr>
          <w:rStyle w:val="dn"/>
          <w:i/>
          <w:iCs/>
        </w:rPr>
        <w:t>, že já vím, jak to je a ž</w:t>
      </w:r>
      <w:r>
        <w:rPr>
          <w:rStyle w:val="dn"/>
          <w:i/>
          <w:iCs/>
          <w:lang w:val="en-US"/>
        </w:rPr>
        <w:t>e to v</w:t>
      </w:r>
      <w:r>
        <w:rPr>
          <w:rStyle w:val="dn"/>
          <w:i/>
          <w:iCs/>
        </w:rPr>
        <w:t>í moje rodina, zaměstnanci a věřitel</w:t>
      </w:r>
      <w:r>
        <w:rPr>
          <w:rStyle w:val="dn"/>
          <w:i/>
          <w:iCs/>
          <w:lang w:val="fr-FR"/>
        </w:rPr>
        <w:t>é</w:t>
      </w:r>
      <w:r>
        <w:rPr>
          <w:rStyle w:val="dn"/>
          <w:i/>
          <w:iCs/>
        </w:rPr>
        <w:t>, pro kter</w:t>
      </w:r>
      <w:r>
        <w:rPr>
          <w:rStyle w:val="dn"/>
          <w:i/>
          <w:iCs/>
          <w:lang w:val="fr-FR"/>
        </w:rPr>
        <w:t xml:space="preserve">é </w:t>
      </w:r>
      <w:r>
        <w:rPr>
          <w:rStyle w:val="dn"/>
          <w:i/>
          <w:iCs/>
        </w:rPr>
        <w:t>tady primárně jsme. Přesto, když má</w:t>
      </w:r>
      <w:r>
        <w:rPr>
          <w:rStyle w:val="dn"/>
          <w:i/>
          <w:iCs/>
          <w:lang w:val="pt-PT"/>
        </w:rPr>
        <w:t>m p</w:t>
      </w:r>
      <w:r>
        <w:rPr>
          <w:rStyle w:val="dn"/>
          <w:i/>
          <w:iCs/>
        </w:rPr>
        <w:t>říležitost o osvětu v m</w:t>
      </w:r>
      <w:r>
        <w:rPr>
          <w:rStyle w:val="dn"/>
          <w:i/>
          <w:iCs/>
          <w:lang w:val="fr-FR"/>
        </w:rPr>
        <w:t>é</w:t>
      </w:r>
      <w:r>
        <w:rPr>
          <w:rStyle w:val="dn"/>
          <w:i/>
          <w:iCs/>
        </w:rPr>
        <w:t>diích, využiji toho, abych se pokusila alespoň trochu uv</w:t>
      </w:r>
      <w:r>
        <w:rPr>
          <w:rStyle w:val="dn"/>
          <w:i/>
          <w:iCs/>
          <w:lang w:val="fr-FR"/>
        </w:rPr>
        <w:t>é</w:t>
      </w:r>
      <w:r>
        <w:rPr>
          <w:rStyle w:val="dn"/>
          <w:i/>
          <w:iCs/>
        </w:rPr>
        <w:t xml:space="preserve">st věci na pravou míru. </w:t>
      </w:r>
    </w:p>
    <w:p w:rsidR="009B70FF" w:rsidRDefault="009B70FF" w:rsidP="009B70FF">
      <w:pPr>
        <w:pStyle w:val="Default"/>
        <w:spacing w:line="360" w:lineRule="auto"/>
        <w:jc w:val="both"/>
        <w:rPr>
          <w:rStyle w:val="dn"/>
          <w:b/>
          <w:bCs/>
        </w:rPr>
      </w:pPr>
    </w:p>
    <w:p w:rsidR="009B70FF" w:rsidRDefault="009B70FF" w:rsidP="009B70FF">
      <w:pPr>
        <w:pStyle w:val="Default"/>
        <w:spacing w:line="360" w:lineRule="auto"/>
        <w:jc w:val="both"/>
        <w:rPr>
          <w:rStyle w:val="dn"/>
        </w:rPr>
      </w:pPr>
      <w:r>
        <w:rPr>
          <w:rStyle w:val="dn"/>
          <w:b/>
          <w:bCs/>
        </w:rPr>
        <w:t>3. Jaký je váš názor na organizaci a stav soudnictví ve vztahu k exekucím v Česk</w:t>
      </w:r>
      <w:r>
        <w:rPr>
          <w:rStyle w:val="dn"/>
          <w:b/>
          <w:bCs/>
          <w:lang w:val="fr-FR"/>
        </w:rPr>
        <w:t xml:space="preserve">é </w:t>
      </w:r>
      <w:r>
        <w:rPr>
          <w:rStyle w:val="dn"/>
          <w:b/>
          <w:bCs/>
        </w:rPr>
        <w:t xml:space="preserve">republice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i/>
          <w:iCs/>
        </w:rPr>
        <w:t>Soudnictví je zahlcen</w:t>
      </w:r>
      <w:r>
        <w:rPr>
          <w:rStyle w:val="dn"/>
          <w:i/>
          <w:iCs/>
          <w:lang w:val="fr-FR"/>
        </w:rPr>
        <w:t>é</w:t>
      </w:r>
      <w:r>
        <w:rPr>
          <w:rStyle w:val="dn"/>
          <w:i/>
          <w:iCs/>
        </w:rPr>
        <w:t>, to je všeobecně známo. Nicm</w:t>
      </w:r>
      <w:r>
        <w:rPr>
          <w:rStyle w:val="dn"/>
          <w:i/>
          <w:iCs/>
          <w:lang w:val="fr-FR"/>
        </w:rPr>
        <w:t>é</w:t>
      </w:r>
      <w:r>
        <w:rPr>
          <w:rStyle w:val="dn"/>
          <w:i/>
          <w:iCs/>
        </w:rPr>
        <w:t>ně si nemyslím, že řešením je systematick</w:t>
      </w:r>
      <w:r>
        <w:rPr>
          <w:rStyle w:val="dn"/>
          <w:i/>
          <w:iCs/>
          <w:lang w:val="fr-FR"/>
        </w:rPr>
        <w:t xml:space="preserve">é </w:t>
      </w:r>
      <w:r>
        <w:rPr>
          <w:rStyle w:val="dn"/>
          <w:i/>
          <w:iCs/>
        </w:rPr>
        <w:t>přenášení administrativní zátěže na exekutory, což se v posledních letech děje čím dál víc. Jin</w:t>
      </w:r>
      <w:r>
        <w:rPr>
          <w:rStyle w:val="dn"/>
          <w:i/>
          <w:iCs/>
          <w:lang w:val="fr-FR"/>
        </w:rPr>
        <w:t xml:space="preserve">é </w:t>
      </w:r>
      <w:r>
        <w:rPr>
          <w:rStyle w:val="dn"/>
          <w:i/>
          <w:iCs/>
        </w:rPr>
        <w:t>zásadní výhrady k nastavení naší spolupráce nemám. V běžn</w:t>
      </w:r>
      <w:r>
        <w:rPr>
          <w:rStyle w:val="dn"/>
          <w:i/>
          <w:iCs/>
          <w:lang w:val="fr-FR"/>
        </w:rPr>
        <w:t xml:space="preserve">é </w:t>
      </w:r>
      <w:r>
        <w:rPr>
          <w:rStyle w:val="dn"/>
          <w:i/>
          <w:iCs/>
        </w:rPr>
        <w:t>každodenní komunikaci se mi s většinou soudů a soudců spolupracuje dobře. Jedin</w:t>
      </w:r>
      <w:r>
        <w:rPr>
          <w:rStyle w:val="dn"/>
          <w:i/>
          <w:iCs/>
          <w:lang w:val="fr-FR"/>
        </w:rPr>
        <w:t>é</w:t>
      </w:r>
      <w:r>
        <w:rPr>
          <w:rStyle w:val="dn"/>
          <w:i/>
          <w:iCs/>
        </w:rPr>
        <w:t>, co snad trápí všechny exekutory, je absolutní roztříštěnost právní</w:t>
      </w:r>
      <w:r>
        <w:rPr>
          <w:rStyle w:val="dn"/>
          <w:i/>
          <w:iCs/>
          <w:lang w:val="de-DE"/>
        </w:rPr>
        <w:t>ch n</w:t>
      </w:r>
      <w:r>
        <w:rPr>
          <w:rStyle w:val="dn"/>
          <w:i/>
          <w:iCs/>
        </w:rPr>
        <w:t>ázorů jednotlivých soudců. Nikdy nevíte, jak v dan</w:t>
      </w:r>
      <w:r>
        <w:rPr>
          <w:rStyle w:val="dn"/>
          <w:i/>
          <w:iCs/>
          <w:lang w:val="fr-FR"/>
        </w:rPr>
        <w:t xml:space="preserve">é </w:t>
      </w:r>
      <w:r>
        <w:rPr>
          <w:rStyle w:val="dn"/>
          <w:i/>
          <w:iCs/>
        </w:rPr>
        <w:t>věci ten který soudce rozhodne, a to i př</w:t>
      </w:r>
      <w:r>
        <w:rPr>
          <w:rStyle w:val="dn"/>
          <w:i/>
          <w:iCs/>
          <w:lang w:val="it-IT"/>
        </w:rPr>
        <w:t xml:space="preserve">esto, </w:t>
      </w:r>
      <w:r>
        <w:rPr>
          <w:rStyle w:val="dn"/>
          <w:i/>
          <w:iCs/>
        </w:rPr>
        <w:t>že zákon hovoří jasně a moc prostoru pro fantazii nedává. Zkrátka se nelze ubránit pocitu, že zde hrají roli i jin</w:t>
      </w:r>
      <w:r>
        <w:rPr>
          <w:rStyle w:val="dn"/>
          <w:i/>
          <w:iCs/>
          <w:lang w:val="fr-FR"/>
        </w:rPr>
        <w:t xml:space="preserve">é </w:t>
      </w:r>
      <w:r>
        <w:rPr>
          <w:rStyle w:val="dn"/>
          <w:i/>
          <w:iCs/>
        </w:rPr>
        <w:t>faktory, kter</w:t>
      </w:r>
      <w:r>
        <w:rPr>
          <w:rStyle w:val="dn"/>
          <w:i/>
          <w:iCs/>
          <w:lang w:val="fr-FR"/>
        </w:rPr>
        <w:t xml:space="preserve">é </w:t>
      </w:r>
      <w:r>
        <w:rPr>
          <w:rStyle w:val="dn"/>
          <w:i/>
          <w:iCs/>
        </w:rPr>
        <w:t xml:space="preserve">ovlivňují rozhodování soudců. </w:t>
      </w:r>
    </w:p>
    <w:p w:rsidR="009B70FF" w:rsidRDefault="009B70FF" w:rsidP="009B70FF">
      <w:pPr>
        <w:pStyle w:val="Default"/>
        <w:spacing w:line="360" w:lineRule="auto"/>
        <w:jc w:val="both"/>
        <w:rPr>
          <w:rStyle w:val="dn"/>
          <w:b/>
          <w:bCs/>
        </w:rPr>
      </w:pPr>
    </w:p>
    <w:p w:rsidR="009B70FF" w:rsidRDefault="009B70FF" w:rsidP="009B70FF">
      <w:pPr>
        <w:pStyle w:val="Default"/>
        <w:spacing w:line="360" w:lineRule="auto"/>
        <w:jc w:val="both"/>
        <w:rPr>
          <w:rStyle w:val="dn"/>
        </w:rPr>
      </w:pPr>
      <w:r>
        <w:rPr>
          <w:rStyle w:val="dn"/>
          <w:b/>
          <w:bCs/>
        </w:rPr>
        <w:t>4. V m</w:t>
      </w:r>
      <w:r>
        <w:rPr>
          <w:rStyle w:val="dn"/>
          <w:b/>
          <w:bCs/>
          <w:lang w:val="fr-FR"/>
        </w:rPr>
        <w:t>é</w:t>
      </w:r>
      <w:r>
        <w:rPr>
          <w:rStyle w:val="dn"/>
          <w:b/>
          <w:bCs/>
        </w:rPr>
        <w:t>diích jsou čas od času zmiňovan</w:t>
      </w:r>
      <w:r>
        <w:rPr>
          <w:rStyle w:val="dn"/>
          <w:b/>
          <w:bCs/>
          <w:lang w:val="fr-FR"/>
        </w:rPr>
        <w:t xml:space="preserve">é </w:t>
      </w:r>
      <w:r>
        <w:rPr>
          <w:rStyle w:val="dn"/>
          <w:b/>
          <w:bCs/>
        </w:rPr>
        <w:t>vysok</w:t>
      </w:r>
      <w:r>
        <w:rPr>
          <w:rStyle w:val="dn"/>
          <w:b/>
          <w:bCs/>
          <w:lang w:val="fr-FR"/>
        </w:rPr>
        <w:t xml:space="preserve">é </w:t>
      </w:r>
      <w:r>
        <w:rPr>
          <w:rStyle w:val="dn"/>
          <w:b/>
          <w:bCs/>
        </w:rPr>
        <w:t>odměny pro soudní exekutory. Jste stejn</w:t>
      </w:r>
      <w:r>
        <w:rPr>
          <w:rStyle w:val="dn"/>
          <w:b/>
          <w:bCs/>
          <w:lang w:val="fr-FR"/>
        </w:rPr>
        <w:t>é</w:t>
      </w:r>
      <w:r>
        <w:rPr>
          <w:rStyle w:val="dn"/>
          <w:b/>
          <w:bCs/>
        </w:rPr>
        <w:t xml:space="preserve">ho názoru? Vzpomněla byste si, jak se jejich stav vyvíjel za dobu jejich existence?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V první řadě je nutné ří</w:t>
      </w:r>
      <w:r>
        <w:rPr>
          <w:rStyle w:val="dn"/>
          <w:i/>
          <w:iCs/>
          <w:lang w:val="en-US"/>
        </w:rPr>
        <w:t xml:space="preserve">ct, </w:t>
      </w:r>
      <w:r>
        <w:rPr>
          <w:rStyle w:val="dn"/>
          <w:i/>
          <w:iCs/>
        </w:rPr>
        <w:t>že odměnu si exekutor nestanoví sám, má ji danou ministerskou vyhláškou. Odměny jsou tedy takov</w:t>
      </w:r>
      <w:r>
        <w:rPr>
          <w:rStyle w:val="dn"/>
          <w:i/>
          <w:iCs/>
          <w:lang w:val="fr-FR"/>
        </w:rPr>
        <w:t>é</w:t>
      </w:r>
      <w:r>
        <w:rPr>
          <w:rStyle w:val="dn"/>
          <w:i/>
          <w:iCs/>
        </w:rPr>
        <w:t>, jak</w:t>
      </w:r>
      <w:r>
        <w:rPr>
          <w:rStyle w:val="dn"/>
          <w:i/>
          <w:iCs/>
          <w:lang w:val="fr-FR"/>
        </w:rPr>
        <w:t xml:space="preserve">é </w:t>
      </w:r>
      <w:r>
        <w:rPr>
          <w:rStyle w:val="dn"/>
          <w:i/>
          <w:iCs/>
        </w:rPr>
        <w:t>jsou a já nemám žádnou možnost jejich výši ovlivnit. Pokud se ale ptáte na můj osobní názor, musím ří</w:t>
      </w:r>
      <w:r>
        <w:rPr>
          <w:rStyle w:val="dn"/>
          <w:i/>
          <w:iCs/>
          <w:lang w:val="en-US"/>
        </w:rPr>
        <w:t xml:space="preserve">ct, </w:t>
      </w:r>
      <w:r>
        <w:rPr>
          <w:rStyle w:val="dn"/>
          <w:i/>
          <w:iCs/>
        </w:rPr>
        <w:t>že vše se odvíjí od toho, jak úspěšní ve vymáhání jsme. Exekutor je podnikatel, který vykonává přenesenou státní moc. Je to tedy takový hybrid, který veškerou svoji činnost vykonává na sv</w:t>
      </w:r>
      <w:r>
        <w:rPr>
          <w:rStyle w:val="dn"/>
          <w:i/>
          <w:iCs/>
          <w:lang w:val="fr-FR"/>
        </w:rPr>
        <w:t xml:space="preserve">é </w:t>
      </w:r>
      <w:r>
        <w:rPr>
          <w:rStyle w:val="dn"/>
          <w:i/>
          <w:iCs/>
        </w:rPr>
        <w:t>vlastní náklady a pokud je úspěšný, má nárok na odměnu. Platí tedy rovnice: úspěch = odměna. Bez úspěchu žádná odměna není a vynaložen</w:t>
      </w:r>
      <w:r>
        <w:rPr>
          <w:rStyle w:val="dn"/>
          <w:i/>
          <w:iCs/>
          <w:lang w:val="fr-FR"/>
        </w:rPr>
        <w:t xml:space="preserve">é </w:t>
      </w:r>
      <w:r>
        <w:rPr>
          <w:rStyle w:val="dn"/>
          <w:i/>
          <w:iCs/>
        </w:rPr>
        <w:t>náklady exekutorovi nikdo nezaplatí</w:t>
      </w:r>
      <w:r>
        <w:rPr>
          <w:rStyle w:val="dn"/>
          <w:i/>
          <w:iCs/>
          <w:lang w:val="de-DE"/>
        </w:rPr>
        <w:t>. Probl</w:t>
      </w:r>
      <w:r>
        <w:rPr>
          <w:rStyle w:val="dn"/>
          <w:i/>
          <w:iCs/>
          <w:lang w:val="fr-FR"/>
        </w:rPr>
        <w:t>é</w:t>
      </w:r>
      <w:r>
        <w:rPr>
          <w:rStyle w:val="dn"/>
          <w:i/>
          <w:iCs/>
        </w:rPr>
        <w:t>mem poslední doby je to, že exekucí sice přibývá, ale nepřibývá dlužníků. To znamená, že dluží stále ti samí lid</w:t>
      </w:r>
      <w:r>
        <w:rPr>
          <w:rStyle w:val="dn"/>
          <w:i/>
          <w:iCs/>
          <w:lang w:val="fr-FR"/>
        </w:rPr>
        <w:t>é</w:t>
      </w:r>
      <w:r>
        <w:rPr>
          <w:rStyle w:val="dn"/>
          <w:i/>
          <w:iCs/>
        </w:rPr>
        <w:t>. No a kde nic není, ani exekutor nebere. Takže když to shrnu, vyhláškou stanovená odměna je v pořádku, pokud ji dostanu. Bohužel se ale počty případů, kdy ji nedostanu, stále zvyšují. Z odměny v úspěšn</w:t>
      </w:r>
      <w:r>
        <w:rPr>
          <w:rStyle w:val="dn"/>
          <w:i/>
          <w:iCs/>
          <w:lang w:val="fr-FR"/>
        </w:rPr>
        <w:t>é</w:t>
      </w:r>
      <w:r>
        <w:rPr>
          <w:rStyle w:val="dn"/>
          <w:i/>
          <w:iCs/>
        </w:rPr>
        <w:t>m spisu tedy dotuji vynaložen</w:t>
      </w:r>
      <w:r>
        <w:rPr>
          <w:rStyle w:val="dn"/>
          <w:i/>
          <w:iCs/>
          <w:lang w:val="fr-FR"/>
        </w:rPr>
        <w:t xml:space="preserve">é </w:t>
      </w:r>
      <w:r>
        <w:rPr>
          <w:rStyle w:val="dn"/>
          <w:i/>
          <w:iCs/>
        </w:rPr>
        <w:t>náklady v neúspěšn</w:t>
      </w:r>
      <w:r>
        <w:rPr>
          <w:rStyle w:val="dn"/>
          <w:i/>
          <w:iCs/>
          <w:lang w:val="fr-FR"/>
        </w:rPr>
        <w:t>é</w:t>
      </w:r>
      <w:r>
        <w:rPr>
          <w:rStyle w:val="dn"/>
          <w:i/>
          <w:iCs/>
        </w:rPr>
        <w:t xml:space="preserve">m spisu.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b/>
          <w:bCs/>
        </w:rPr>
        <w:t>5. V t</w:t>
      </w:r>
      <w:r>
        <w:rPr>
          <w:rStyle w:val="dn"/>
          <w:b/>
          <w:bCs/>
          <w:lang w:val="fr-FR"/>
        </w:rPr>
        <w:t>é</w:t>
      </w:r>
      <w:r>
        <w:rPr>
          <w:rStyle w:val="dn"/>
          <w:b/>
          <w:bCs/>
        </w:rPr>
        <w:t>to souvislosti by mě tak</w:t>
      </w:r>
      <w:r>
        <w:rPr>
          <w:rStyle w:val="dn"/>
          <w:b/>
          <w:bCs/>
          <w:lang w:val="fr-FR"/>
        </w:rPr>
        <w:t xml:space="preserve">é </w:t>
      </w:r>
      <w:r>
        <w:rPr>
          <w:rStyle w:val="dn"/>
          <w:b/>
          <w:bCs/>
        </w:rPr>
        <w:t>zajímalo, jestli byste byla pro, aby u bagatelních pohledávek byla odměna exekutora striktně regulována tak, aby astronomicky nenarů</w:t>
      </w:r>
      <w:r>
        <w:rPr>
          <w:rStyle w:val="dn"/>
          <w:b/>
          <w:bCs/>
          <w:lang w:val="pt-PT"/>
        </w:rPr>
        <w:t xml:space="preserve">stala do </w:t>
      </w:r>
      <w:r>
        <w:rPr>
          <w:rStyle w:val="dn"/>
          <w:b/>
          <w:bCs/>
        </w:rPr>
        <w:t>částky existenčně ohrožující případn</w:t>
      </w:r>
      <w:r>
        <w:rPr>
          <w:rStyle w:val="dn"/>
          <w:b/>
          <w:bCs/>
          <w:lang w:val="fr-FR"/>
        </w:rPr>
        <w:t>é</w:t>
      </w:r>
      <w:r>
        <w:rPr>
          <w:rStyle w:val="dn"/>
          <w:b/>
          <w:bCs/>
        </w:rPr>
        <w:t xml:space="preserve">ho dlužníka.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Odměna je už dnes striktně regulovaná právě zmíněnou ministerskou vyhláškou. Pokud má dlužník tzv. bagatelní pohledávku a uhradí ji ve lhůtě 30 dnů od doručení výzvy exekutora, uhradí na odměně 1.500,- Kč</w:t>
      </w:r>
      <w:r>
        <w:rPr>
          <w:rStyle w:val="dn"/>
          <w:i/>
          <w:iCs/>
          <w:lang w:val="it-IT"/>
        </w:rPr>
        <w:t>, co</w:t>
      </w:r>
      <w:r>
        <w:rPr>
          <w:rStyle w:val="dn"/>
          <w:i/>
          <w:iCs/>
        </w:rPr>
        <w:t>ž si myslím není pro nikoho neúnosn</w:t>
      </w:r>
      <w:r>
        <w:rPr>
          <w:rStyle w:val="dn"/>
          <w:i/>
          <w:iCs/>
          <w:lang w:val="fr-FR"/>
        </w:rPr>
        <w:t>é</w:t>
      </w:r>
      <w:r>
        <w:rPr>
          <w:rStyle w:val="dn"/>
          <w:i/>
          <w:iCs/>
        </w:rPr>
        <w:t xml:space="preserve">.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b/>
          <w:bCs/>
        </w:rPr>
        <w:t>6. Jak byste například poradila dlužníkovi, jež se dostane do takov</w:t>
      </w:r>
      <w:r>
        <w:rPr>
          <w:rStyle w:val="dn"/>
          <w:b/>
          <w:bCs/>
          <w:lang w:val="fr-FR"/>
        </w:rPr>
        <w:t xml:space="preserve">é </w:t>
      </w:r>
      <w:r>
        <w:rPr>
          <w:rStyle w:val="dn"/>
          <w:b/>
          <w:bCs/>
        </w:rPr>
        <w:t xml:space="preserve">situace, kdy je na něj uvaleno více exekucí?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i/>
          <w:iCs/>
        </w:rPr>
        <w:t>Já bych mu poradila, aby především komunikoval. Přebí</w:t>
      </w:r>
      <w:r>
        <w:rPr>
          <w:rStyle w:val="dn"/>
          <w:i/>
          <w:iCs/>
          <w:lang w:val="it-IT"/>
        </w:rPr>
        <w:t>ral si po</w:t>
      </w:r>
      <w:r>
        <w:rPr>
          <w:rStyle w:val="dn"/>
          <w:i/>
          <w:iCs/>
        </w:rPr>
        <w:t>štu a i třeba po malý</w:t>
      </w:r>
      <w:r>
        <w:rPr>
          <w:rStyle w:val="dn"/>
          <w:i/>
          <w:iCs/>
          <w:lang w:val="de-DE"/>
        </w:rPr>
        <w:t xml:space="preserve">ch </w:t>
      </w:r>
      <w:r>
        <w:rPr>
          <w:rStyle w:val="dn"/>
          <w:i/>
          <w:iCs/>
        </w:rPr>
        <w:t>částkách sv</w:t>
      </w:r>
      <w:r>
        <w:rPr>
          <w:rStyle w:val="dn"/>
          <w:i/>
          <w:iCs/>
          <w:lang w:val="fr-FR"/>
        </w:rPr>
        <w:t xml:space="preserve">é </w:t>
      </w:r>
      <w:r>
        <w:rPr>
          <w:rStyle w:val="dn"/>
          <w:i/>
          <w:iCs/>
        </w:rPr>
        <w:t>dluhy splá</w:t>
      </w:r>
      <w:r>
        <w:rPr>
          <w:rStyle w:val="dn"/>
          <w:i/>
          <w:iCs/>
          <w:lang w:val="pt-PT"/>
        </w:rPr>
        <w:t>cel. Ka</w:t>
      </w:r>
      <w:r>
        <w:rPr>
          <w:rStyle w:val="dn"/>
          <w:i/>
          <w:iCs/>
        </w:rPr>
        <w:t>ždý exekutor uvítá, když se dlužník postaví ke sv</w:t>
      </w:r>
      <w:r>
        <w:rPr>
          <w:rStyle w:val="dn"/>
          <w:i/>
          <w:iCs/>
          <w:lang w:val="fr-FR"/>
        </w:rPr>
        <w:t>é</w:t>
      </w:r>
      <w:r>
        <w:rPr>
          <w:rStyle w:val="dn"/>
          <w:i/>
          <w:iCs/>
        </w:rPr>
        <w:t>mu probl</w:t>
      </w:r>
      <w:r>
        <w:rPr>
          <w:rStyle w:val="dn"/>
          <w:i/>
          <w:iCs/>
          <w:lang w:val="fr-FR"/>
        </w:rPr>
        <w:t>é</w:t>
      </w:r>
      <w:r>
        <w:rPr>
          <w:rStyle w:val="dn"/>
          <w:i/>
          <w:iCs/>
        </w:rPr>
        <w:t xml:space="preserve">mu čelem a nabídne řešení. </w:t>
      </w:r>
    </w:p>
    <w:p w:rsidR="009B70FF" w:rsidRDefault="009B70FF" w:rsidP="009B70FF">
      <w:pPr>
        <w:pStyle w:val="Default"/>
        <w:spacing w:line="360" w:lineRule="auto"/>
        <w:jc w:val="both"/>
        <w:rPr>
          <w:rStyle w:val="dn"/>
        </w:rPr>
      </w:pPr>
      <w:r>
        <w:rPr>
          <w:rStyle w:val="dn"/>
          <w:b/>
          <w:bCs/>
        </w:rPr>
        <w:t>7. Poměrně aktuálním t</w:t>
      </w:r>
      <w:r>
        <w:rPr>
          <w:rStyle w:val="dn"/>
          <w:b/>
          <w:bCs/>
          <w:lang w:val="fr-FR"/>
        </w:rPr>
        <w:t>é</w:t>
      </w:r>
      <w:r>
        <w:rPr>
          <w:rStyle w:val="dn"/>
          <w:b/>
          <w:bCs/>
        </w:rPr>
        <w:t xml:space="preserve">matem jsou nová </w:t>
      </w:r>
      <w:r>
        <w:rPr>
          <w:rStyle w:val="dn"/>
          <w:b/>
          <w:bCs/>
          <w:lang w:val="pt-PT"/>
        </w:rPr>
        <w:t>exeku</w:t>
      </w:r>
      <w:r>
        <w:rPr>
          <w:rStyle w:val="dn"/>
          <w:b/>
          <w:bCs/>
        </w:rPr>
        <w:t xml:space="preserve">ční pravidla. Co na ně říkáte?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 xml:space="preserve">Nic se snad nemění častěji, než </w:t>
      </w:r>
      <w:r>
        <w:rPr>
          <w:rStyle w:val="dn"/>
          <w:i/>
          <w:iCs/>
          <w:lang w:val="pt-PT"/>
        </w:rPr>
        <w:t>exeku</w:t>
      </w:r>
      <w:r>
        <w:rPr>
          <w:rStyle w:val="dn"/>
          <w:i/>
          <w:iCs/>
        </w:rPr>
        <w:t>ční předpisy…každý rok je stižen alespoň jednou zásadní novelou. Období, kdy byly novely ku prospěchu věci, tedy zefektivňovaly vymáhání, už je dávno pryč. V současn</w:t>
      </w:r>
      <w:r>
        <w:rPr>
          <w:rStyle w:val="dn"/>
          <w:i/>
          <w:iCs/>
          <w:lang w:val="fr-FR"/>
        </w:rPr>
        <w:t xml:space="preserve">é </w:t>
      </w:r>
      <w:r>
        <w:rPr>
          <w:rStyle w:val="dn"/>
          <w:i/>
          <w:iCs/>
        </w:rPr>
        <w:t>době je hlavní</w:t>
      </w:r>
      <w:r>
        <w:rPr>
          <w:rStyle w:val="dn"/>
          <w:i/>
          <w:iCs/>
          <w:lang w:val="pt-PT"/>
        </w:rPr>
        <w:t>m motivem z</w:t>
      </w:r>
      <w:r>
        <w:rPr>
          <w:rStyle w:val="dn"/>
          <w:i/>
          <w:iCs/>
        </w:rPr>
        <w:t>ákonodárců získat politick</w:t>
      </w:r>
      <w:r>
        <w:rPr>
          <w:rStyle w:val="dn"/>
          <w:i/>
          <w:iCs/>
          <w:lang w:val="fr-FR"/>
        </w:rPr>
        <w:t xml:space="preserve">é </w:t>
      </w:r>
      <w:r>
        <w:rPr>
          <w:rStyle w:val="dn"/>
          <w:i/>
          <w:iCs/>
        </w:rPr>
        <w:t xml:space="preserve">body a podle toho pak změny předpisů vypadají. Vždy tedy záleží, kdo je takzvaně u moci. Pokud je tam pravice – </w:t>
      </w:r>
      <w:r>
        <w:rPr>
          <w:rStyle w:val="dn"/>
          <w:i/>
          <w:iCs/>
          <w:lang w:val="en-US"/>
        </w:rPr>
        <w:t>novely p</w:t>
      </w:r>
      <w:r>
        <w:rPr>
          <w:rStyle w:val="dn"/>
          <w:i/>
          <w:iCs/>
        </w:rPr>
        <w:t>řináší nov</w:t>
      </w:r>
      <w:r>
        <w:rPr>
          <w:rStyle w:val="dn"/>
          <w:i/>
          <w:iCs/>
          <w:lang w:val="fr-FR"/>
        </w:rPr>
        <w:t xml:space="preserve">é </w:t>
      </w:r>
      <w:r>
        <w:rPr>
          <w:rStyle w:val="dn"/>
          <w:i/>
          <w:iCs/>
        </w:rPr>
        <w:t>nástroje na efektivnější a rychlejší vymáhání práva. Po příchodu levice – novely exekutorům svazují ruce a dlužníkům dávají prostor se placení svých závazků elegantně vyhnout. V současn</w:t>
      </w:r>
      <w:r>
        <w:rPr>
          <w:rStyle w:val="dn"/>
          <w:i/>
          <w:iCs/>
          <w:lang w:val="fr-FR"/>
        </w:rPr>
        <w:t xml:space="preserve">é </w:t>
      </w:r>
      <w:r>
        <w:rPr>
          <w:rStyle w:val="dn"/>
          <w:i/>
          <w:iCs/>
        </w:rPr>
        <w:t>době jdeme tedy tou druhou cestou a to se mi z pochopitelný</w:t>
      </w:r>
      <w:r>
        <w:rPr>
          <w:rStyle w:val="dn"/>
          <w:i/>
          <w:iCs/>
          <w:lang w:val="de-DE"/>
        </w:rPr>
        <w:t>ch d</w:t>
      </w:r>
      <w:r>
        <w:rPr>
          <w:rStyle w:val="dn"/>
          <w:i/>
          <w:iCs/>
        </w:rPr>
        <w:t xml:space="preserve">ůvodů </w:t>
      </w:r>
      <w:r>
        <w:rPr>
          <w:rStyle w:val="dn"/>
          <w:i/>
          <w:iCs/>
          <w:lang w:val="it-IT"/>
        </w:rPr>
        <w:t>nel</w:t>
      </w:r>
      <w:r>
        <w:rPr>
          <w:rStyle w:val="dn"/>
          <w:i/>
          <w:iCs/>
        </w:rPr>
        <w:t xml:space="preserve">íbí.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b/>
          <w:bCs/>
        </w:rPr>
        <w:t xml:space="preserve">8. Například taková teritorialita. Ta se nejspíš velmi dotkne vašeho výkonu. Nemýlím se?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Teritorialita by změnila úplně všechno.</w:t>
      </w:r>
      <w:r>
        <w:rPr>
          <w:rStyle w:val="dn"/>
          <w:i/>
          <w:iCs/>
          <w:vertAlign w:val="superscript"/>
        </w:rPr>
        <w:footnoteReference w:id="132"/>
      </w:r>
    </w:p>
    <w:p w:rsidR="009B70FF" w:rsidRDefault="009B70FF" w:rsidP="009B70FF">
      <w:pPr>
        <w:pStyle w:val="Default"/>
        <w:spacing w:line="360" w:lineRule="auto"/>
        <w:jc w:val="both"/>
        <w:rPr>
          <w:rStyle w:val="dn"/>
          <w:i/>
          <w:iCs/>
        </w:rPr>
      </w:pPr>
    </w:p>
    <w:p w:rsidR="009B70FF" w:rsidRDefault="009B70FF" w:rsidP="009B70FF">
      <w:pPr>
        <w:pStyle w:val="Default"/>
        <w:spacing w:line="360" w:lineRule="auto"/>
        <w:jc w:val="both"/>
        <w:rPr>
          <w:rStyle w:val="dn"/>
        </w:rPr>
      </w:pPr>
      <w:r>
        <w:rPr>
          <w:rStyle w:val="dn"/>
          <w:b/>
          <w:bCs/>
        </w:rPr>
        <w:t>9. V souvislosti s ministrem spravedlnosti by mě zají</w:t>
      </w:r>
      <w:r>
        <w:rPr>
          <w:rStyle w:val="dn"/>
          <w:b/>
          <w:bCs/>
          <w:lang w:val="de-DE"/>
        </w:rPr>
        <w:t>mal v</w:t>
      </w:r>
      <w:r>
        <w:rPr>
          <w:rStyle w:val="dn"/>
          <w:b/>
          <w:bCs/>
        </w:rPr>
        <w:t>áš názor na soudního exekutora JUDr. Tomáš</w:t>
      </w:r>
      <w:r>
        <w:rPr>
          <w:rStyle w:val="dn"/>
          <w:b/>
          <w:bCs/>
          <w:lang w:val="nl-NL"/>
        </w:rPr>
        <w:t>e Vr</w:t>
      </w:r>
      <w:r>
        <w:rPr>
          <w:rStyle w:val="dn"/>
          <w:b/>
          <w:bCs/>
        </w:rPr>
        <w:t>ánu? Za jakých podmínek je možn</w:t>
      </w:r>
      <w:r>
        <w:rPr>
          <w:rStyle w:val="dn"/>
          <w:b/>
          <w:bCs/>
          <w:lang w:val="fr-FR"/>
        </w:rPr>
        <w:t xml:space="preserve">é </w:t>
      </w:r>
      <w:r>
        <w:rPr>
          <w:rStyle w:val="dn"/>
          <w:b/>
          <w:bCs/>
        </w:rPr>
        <w:t xml:space="preserve">soudního exekutora odvolat?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Exekutora lze odvolat, pokud opakovaně závažně porušuje právní předpisy. Kolega Vrána má velký úřad a v exekučním vymáhání je bezpochyby úspěšný. Nechci ho jakkoliv hodnotit, protože mi to nepřísluší. Vím, že v m</w:t>
      </w:r>
      <w:r>
        <w:rPr>
          <w:rStyle w:val="dn"/>
          <w:i/>
          <w:iCs/>
          <w:lang w:val="fr-FR"/>
        </w:rPr>
        <w:t>é</w:t>
      </w:r>
      <w:r>
        <w:rPr>
          <w:rStyle w:val="dn"/>
          <w:i/>
          <w:iCs/>
        </w:rPr>
        <w:t>diích je skloňován ve všech pádech…nicm</w:t>
      </w:r>
      <w:r>
        <w:rPr>
          <w:rStyle w:val="dn"/>
          <w:i/>
          <w:iCs/>
          <w:lang w:val="fr-FR"/>
        </w:rPr>
        <w:t>é</w:t>
      </w:r>
      <w:r>
        <w:rPr>
          <w:rStyle w:val="dn"/>
          <w:i/>
          <w:iCs/>
        </w:rPr>
        <w:t>ně m</w:t>
      </w:r>
      <w:r>
        <w:rPr>
          <w:rStyle w:val="dn"/>
          <w:i/>
          <w:iCs/>
          <w:lang w:val="fr-FR"/>
        </w:rPr>
        <w:t>é</w:t>
      </w:r>
      <w:r>
        <w:rPr>
          <w:rStyle w:val="dn"/>
          <w:i/>
          <w:iCs/>
        </w:rPr>
        <w:t>dia beru od jist</w:t>
      </w:r>
      <w:r>
        <w:rPr>
          <w:rStyle w:val="dn"/>
          <w:i/>
          <w:iCs/>
          <w:lang w:val="fr-FR"/>
        </w:rPr>
        <w:t xml:space="preserve">é </w:t>
      </w:r>
      <w:r>
        <w:rPr>
          <w:rStyle w:val="dn"/>
          <w:i/>
          <w:iCs/>
        </w:rPr>
        <w:t>doby s velkou rezervou. I o m</w:t>
      </w:r>
      <w:r>
        <w:rPr>
          <w:rStyle w:val="dn"/>
          <w:i/>
          <w:iCs/>
          <w:lang w:val="fr-FR"/>
        </w:rPr>
        <w:t>é</w:t>
      </w:r>
      <w:r>
        <w:rPr>
          <w:rStyle w:val="dn"/>
          <w:i/>
          <w:iCs/>
        </w:rPr>
        <w:t>m úřadu jsem již vidě</w:t>
      </w:r>
      <w:r>
        <w:rPr>
          <w:rStyle w:val="dn"/>
          <w:i/>
          <w:iCs/>
          <w:lang w:val="es-ES_tradnl"/>
        </w:rPr>
        <w:t>la report</w:t>
      </w:r>
      <w:r>
        <w:rPr>
          <w:rStyle w:val="dn"/>
          <w:i/>
          <w:iCs/>
        </w:rPr>
        <w:t xml:space="preserve">áž </w:t>
      </w:r>
      <w:r>
        <w:rPr>
          <w:rStyle w:val="dn"/>
          <w:i/>
          <w:iCs/>
          <w:lang w:val="it-IT"/>
        </w:rPr>
        <w:t>a mus</w:t>
      </w:r>
      <w:r>
        <w:rPr>
          <w:rStyle w:val="dn"/>
          <w:i/>
          <w:iCs/>
        </w:rPr>
        <w:t>ím ří</w:t>
      </w:r>
      <w:r>
        <w:rPr>
          <w:rStyle w:val="dn"/>
          <w:i/>
          <w:iCs/>
          <w:lang w:val="en-US"/>
        </w:rPr>
        <w:t xml:space="preserve">ct, </w:t>
      </w:r>
      <w:r>
        <w:rPr>
          <w:rStyle w:val="dn"/>
          <w:i/>
          <w:iCs/>
        </w:rPr>
        <w:t>že vše bylo tak upraven</w:t>
      </w:r>
      <w:r>
        <w:rPr>
          <w:rStyle w:val="dn"/>
          <w:i/>
          <w:iCs/>
          <w:lang w:val="fr-FR"/>
        </w:rPr>
        <w:t xml:space="preserve">é </w:t>
      </w:r>
      <w:r>
        <w:rPr>
          <w:rStyle w:val="dn"/>
          <w:i/>
          <w:iCs/>
        </w:rPr>
        <w:t>a překroucen</w:t>
      </w:r>
      <w:r>
        <w:rPr>
          <w:rStyle w:val="dn"/>
          <w:i/>
          <w:iCs/>
          <w:lang w:val="fr-FR"/>
        </w:rPr>
        <w:t>é</w:t>
      </w:r>
      <w:r>
        <w:rPr>
          <w:rStyle w:val="dn"/>
          <w:i/>
          <w:iCs/>
        </w:rPr>
        <w:t xml:space="preserve">, že plně rozumím rozčarování tzv. obyčejných nezasvěcených lidí. Pokud exekutor Vrána nebo kterýkoliv jiný skutečně provádí </w:t>
      </w:r>
      <w:r>
        <w:rPr>
          <w:rStyle w:val="dn"/>
          <w:i/>
          <w:iCs/>
          <w:lang w:val="pt-PT"/>
        </w:rPr>
        <w:t>exeku</w:t>
      </w:r>
      <w:r>
        <w:rPr>
          <w:rStyle w:val="dn"/>
          <w:i/>
          <w:iCs/>
        </w:rPr>
        <w:t>ční činnost tak, že porušuje předpisy, má být potrestán, to je bezesporu. Za tímto účelem byly zřízeny dohledov</w:t>
      </w:r>
      <w:r>
        <w:rPr>
          <w:rStyle w:val="dn"/>
          <w:i/>
          <w:iCs/>
          <w:lang w:val="fr-FR"/>
        </w:rPr>
        <w:t xml:space="preserve">é </w:t>
      </w:r>
      <w:r>
        <w:rPr>
          <w:rStyle w:val="dn"/>
          <w:i/>
          <w:iCs/>
        </w:rPr>
        <w:t>orgá</w:t>
      </w:r>
      <w:r>
        <w:rPr>
          <w:rStyle w:val="dn"/>
          <w:i/>
          <w:iCs/>
          <w:lang w:val="nl-NL"/>
        </w:rPr>
        <w:t>ny EK</w:t>
      </w:r>
      <w:r>
        <w:rPr>
          <w:rStyle w:val="dn"/>
          <w:i/>
          <w:iCs/>
        </w:rPr>
        <w:t>Č</w:t>
      </w:r>
      <w:r>
        <w:rPr>
          <w:rStyle w:val="dn"/>
          <w:i/>
          <w:iCs/>
          <w:lang w:val="de-DE"/>
        </w:rPr>
        <w:t>R, MS</w:t>
      </w:r>
      <w:r>
        <w:rPr>
          <w:rStyle w:val="dn"/>
          <w:i/>
          <w:iCs/>
        </w:rPr>
        <w:t xml:space="preserve">ČR nebo soudů.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b/>
          <w:bCs/>
        </w:rPr>
        <w:t>10. I když mi je vaše odpověď z kolegiálního hlediska jasná, byla byste pro jeho případn</w:t>
      </w:r>
      <w:r>
        <w:rPr>
          <w:rStyle w:val="dn"/>
          <w:b/>
          <w:bCs/>
          <w:lang w:val="fr-FR"/>
        </w:rPr>
        <w:t xml:space="preserve">é </w:t>
      </w:r>
      <w:r>
        <w:rPr>
          <w:rStyle w:val="dn"/>
          <w:b/>
          <w:bCs/>
        </w:rPr>
        <w:t xml:space="preserve">odvolání?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i/>
          <w:iCs/>
        </w:rPr>
      </w:pPr>
      <w:r>
        <w:rPr>
          <w:rStyle w:val="dn"/>
          <w:i/>
          <w:iCs/>
        </w:rPr>
        <w:t xml:space="preserve">Jak jsem již řekla, tohle posouzení </w:t>
      </w:r>
      <w:r>
        <w:rPr>
          <w:rStyle w:val="dn"/>
          <w:i/>
          <w:iCs/>
          <w:lang w:val="de-DE"/>
        </w:rPr>
        <w:t>nen</w:t>
      </w:r>
      <w:r>
        <w:rPr>
          <w:rStyle w:val="dn"/>
          <w:i/>
          <w:iCs/>
        </w:rPr>
        <w:t>í na mně. Pro mě je kolega Vrána konkurentem, na kter</w:t>
      </w:r>
      <w:r>
        <w:rPr>
          <w:rStyle w:val="dn"/>
          <w:i/>
          <w:iCs/>
          <w:lang w:val="fr-FR"/>
        </w:rPr>
        <w:t>é</w:t>
      </w:r>
      <w:r>
        <w:rPr>
          <w:rStyle w:val="dn"/>
          <w:i/>
          <w:iCs/>
        </w:rPr>
        <w:t>ho nelze zapomínat. V mnoh</w:t>
      </w:r>
      <w:r>
        <w:rPr>
          <w:rStyle w:val="dn"/>
          <w:i/>
          <w:iCs/>
          <w:lang w:val="fr-FR"/>
        </w:rPr>
        <w:t>é</w:t>
      </w:r>
      <w:r>
        <w:rPr>
          <w:rStyle w:val="dn"/>
          <w:i/>
          <w:iCs/>
        </w:rPr>
        <w:t>m je o krok napřed a nemyslím si, ž</w:t>
      </w:r>
      <w:r>
        <w:rPr>
          <w:rStyle w:val="dn"/>
          <w:i/>
          <w:iCs/>
          <w:lang w:val="en-US"/>
        </w:rPr>
        <w:t>e to mus</w:t>
      </w:r>
      <w:r>
        <w:rPr>
          <w:rStyle w:val="dn"/>
          <w:i/>
          <w:iCs/>
        </w:rPr>
        <w:t>í být způsobeno tím, že porušuje předpisy, jak se všeobecně říká. Jistě má dobrý tým lidí, vyspělý software a obchodního ducha. Svým způsobem si takov</w:t>
      </w:r>
      <w:r>
        <w:rPr>
          <w:rStyle w:val="dn"/>
          <w:i/>
          <w:iCs/>
          <w:lang w:val="fr-FR"/>
        </w:rPr>
        <w:t xml:space="preserve">é </w:t>
      </w:r>
      <w:r>
        <w:rPr>
          <w:rStyle w:val="dn"/>
          <w:i/>
          <w:iCs/>
        </w:rPr>
        <w:t>konkurence vážím, protože právě ta mě tá</w:t>
      </w:r>
      <w:r>
        <w:rPr>
          <w:rStyle w:val="dn"/>
          <w:i/>
          <w:iCs/>
          <w:lang w:val="de-DE"/>
        </w:rPr>
        <w:t>hne dop</w:t>
      </w:r>
      <w:r>
        <w:rPr>
          <w:rStyle w:val="dn"/>
          <w:i/>
          <w:iCs/>
        </w:rPr>
        <w:t xml:space="preserve">ředu.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b/>
          <w:bCs/>
        </w:rPr>
        <w:t xml:space="preserve">11. Poslední otázka: Jak byste motivovala někoho, kdo by se chtěl stát soudním exekutorem? Co byste mu doporučila?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i/>
          <w:iCs/>
        </w:rPr>
        <w:t>Začínat v dnešní době je velmi složit</w:t>
      </w:r>
      <w:r>
        <w:rPr>
          <w:rStyle w:val="dn"/>
          <w:i/>
          <w:iCs/>
          <w:lang w:val="fr-FR"/>
        </w:rPr>
        <w:t>é</w:t>
      </w:r>
      <w:r>
        <w:rPr>
          <w:rStyle w:val="dn"/>
          <w:i/>
          <w:iCs/>
        </w:rPr>
        <w:t xml:space="preserve">. Není </w:t>
      </w:r>
      <w:r>
        <w:rPr>
          <w:rStyle w:val="dn"/>
          <w:i/>
          <w:iCs/>
          <w:lang w:val="en-US"/>
        </w:rPr>
        <w:t>to p</w:t>
      </w:r>
      <w:r>
        <w:rPr>
          <w:rStyle w:val="dn"/>
          <w:i/>
          <w:iCs/>
        </w:rPr>
        <w:t>řátelsk</w:t>
      </w:r>
      <w:r>
        <w:rPr>
          <w:rStyle w:val="dn"/>
          <w:i/>
          <w:iCs/>
          <w:lang w:val="fr-FR"/>
        </w:rPr>
        <w:t xml:space="preserve">é </w:t>
      </w:r>
      <w:r>
        <w:rPr>
          <w:rStyle w:val="dn"/>
          <w:i/>
          <w:iCs/>
        </w:rPr>
        <w:t>prostředí, ve kter</w:t>
      </w:r>
      <w:r>
        <w:rPr>
          <w:rStyle w:val="dn"/>
          <w:i/>
          <w:iCs/>
          <w:lang w:val="fr-FR"/>
        </w:rPr>
        <w:t>é</w:t>
      </w:r>
      <w:r>
        <w:rPr>
          <w:rStyle w:val="dn"/>
          <w:i/>
          <w:iCs/>
        </w:rPr>
        <w:t>m je jednoduch</w:t>
      </w:r>
      <w:r>
        <w:rPr>
          <w:rStyle w:val="dn"/>
          <w:i/>
          <w:iCs/>
          <w:lang w:val="fr-FR"/>
        </w:rPr>
        <w:t xml:space="preserve">é </w:t>
      </w:r>
      <w:r>
        <w:rPr>
          <w:rStyle w:val="dn"/>
          <w:i/>
          <w:iCs/>
        </w:rPr>
        <w:t xml:space="preserve">prorazit. Ten člověk by určitě musel mít velkou trpělivost, vstupní kapitál, odolnost vůči stresu a především jasnou vizi. Jak jsem již řekla, exekutor je podnikatel, není </w:t>
      </w:r>
      <w:r>
        <w:rPr>
          <w:rStyle w:val="dn"/>
          <w:i/>
          <w:iCs/>
          <w:lang w:val="it-IT"/>
        </w:rPr>
        <w:t>to pr</w:t>
      </w:r>
      <w:r>
        <w:rPr>
          <w:rStyle w:val="dn"/>
          <w:i/>
          <w:iCs/>
        </w:rPr>
        <w:t>áce pro každ</w:t>
      </w:r>
      <w:r>
        <w:rPr>
          <w:rStyle w:val="dn"/>
          <w:i/>
          <w:iCs/>
          <w:lang w:val="fr-FR"/>
        </w:rPr>
        <w:t>é</w:t>
      </w:r>
      <w:r>
        <w:rPr>
          <w:rStyle w:val="dn"/>
          <w:i/>
          <w:iCs/>
        </w:rPr>
        <w:t>ho. Jen ten, kdo exekuci chápe jako službu klientovi, může bý</w:t>
      </w:r>
      <w:r>
        <w:rPr>
          <w:rStyle w:val="dn"/>
          <w:i/>
          <w:iCs/>
          <w:lang w:val="nl-NL"/>
        </w:rPr>
        <w:t xml:space="preserve">t doopravdy </w:t>
      </w:r>
      <w:r>
        <w:rPr>
          <w:rStyle w:val="dn"/>
          <w:i/>
          <w:iCs/>
        </w:rPr>
        <w:t xml:space="preserve">úspěšný. </w:t>
      </w:r>
    </w:p>
    <w:p w:rsidR="009B70FF" w:rsidRDefault="009B70FF" w:rsidP="009B70FF">
      <w:pPr>
        <w:pStyle w:val="Default"/>
        <w:spacing w:line="360" w:lineRule="auto"/>
        <w:jc w:val="both"/>
        <w:rPr>
          <w:rStyle w:val="dn"/>
        </w:rPr>
      </w:pPr>
    </w:p>
    <w:p w:rsidR="009B70FF" w:rsidRDefault="009B70FF" w:rsidP="009B70FF">
      <w:pPr>
        <w:pStyle w:val="Default"/>
        <w:spacing w:line="360" w:lineRule="auto"/>
        <w:jc w:val="both"/>
        <w:rPr>
          <w:rStyle w:val="dn"/>
        </w:rPr>
      </w:pPr>
      <w:r>
        <w:rPr>
          <w:rStyle w:val="dn"/>
        </w:rPr>
        <w:t xml:space="preserve">Výše uvedený rozhovor s paní magistrou považuji za vhodný </w:t>
      </w:r>
      <w:r>
        <w:rPr>
          <w:rStyle w:val="dn"/>
          <w:lang w:val="it-IT"/>
        </w:rPr>
        <w:t>materi</w:t>
      </w:r>
      <w:r>
        <w:rPr>
          <w:rStyle w:val="dn"/>
        </w:rPr>
        <w:t>ál i pro nezasvěcen</w:t>
      </w:r>
      <w:r>
        <w:rPr>
          <w:rStyle w:val="dn"/>
          <w:lang w:val="fr-FR"/>
        </w:rPr>
        <w:t>é</w:t>
      </w:r>
      <w:r>
        <w:rPr>
          <w:rStyle w:val="dn"/>
        </w:rPr>
        <w:t>ho čtenáře, který se snaží získat základní informace o postu soudního exekutora, aniž by předem zjišťoval další faktick</w:t>
      </w:r>
      <w:r>
        <w:rPr>
          <w:rStyle w:val="dn"/>
          <w:lang w:val="fr-FR"/>
        </w:rPr>
        <w:t xml:space="preserve">é </w:t>
      </w:r>
      <w:r>
        <w:rPr>
          <w:rStyle w:val="dn"/>
        </w:rPr>
        <w:t>informace. Oproti teoretickým informacím, kter</w:t>
      </w:r>
      <w:r>
        <w:rPr>
          <w:rStyle w:val="dn"/>
          <w:lang w:val="fr-FR"/>
        </w:rPr>
        <w:t xml:space="preserve">é </w:t>
      </w:r>
      <w:r>
        <w:rPr>
          <w:rStyle w:val="dn"/>
        </w:rPr>
        <w:t>lze získat z odborných publikací č</w:t>
      </w:r>
      <w:r>
        <w:rPr>
          <w:rStyle w:val="dn"/>
          <w:lang w:val="it-IT"/>
        </w:rPr>
        <w:t>i n</w:t>
      </w:r>
      <w:r>
        <w:rPr>
          <w:rStyle w:val="dn"/>
        </w:rPr>
        <w:t>ěkterý</w:t>
      </w:r>
      <w:r>
        <w:rPr>
          <w:rStyle w:val="dn"/>
          <w:lang w:val="de-DE"/>
        </w:rPr>
        <w:t>ch m</w:t>
      </w:r>
      <w:r>
        <w:rPr>
          <w:rStyle w:val="dn"/>
          <w:lang w:val="fr-FR"/>
        </w:rPr>
        <w:t>é</w:t>
      </w:r>
      <w:r>
        <w:rPr>
          <w:rStyle w:val="dn"/>
        </w:rPr>
        <w:t xml:space="preserve">dií, je v rozhovoru znatelný lidský pohled na danou profesi a zhodnocena pozitiva i negativa. Mezi pozitiva bych uvedla tzv. transparentnost profese exekutora (např. odměna regulovaná ministerskou vyhláškou) či popis ne tak stereotypního zaměstnání, kdy se exekutor setkává </w:t>
      </w:r>
      <w:r>
        <w:rPr>
          <w:rStyle w:val="dn"/>
          <w:lang w:val="en-US"/>
        </w:rPr>
        <w:t>s r</w:t>
      </w:r>
      <w:r>
        <w:rPr>
          <w:rStyle w:val="dn"/>
        </w:rPr>
        <w:t>ůznými odlišnými situacemi, kter</w:t>
      </w:r>
      <w:r>
        <w:rPr>
          <w:rStyle w:val="dn"/>
          <w:lang w:val="fr-FR"/>
        </w:rPr>
        <w:t xml:space="preserve">é </w:t>
      </w:r>
      <w:r>
        <w:rPr>
          <w:rStyle w:val="dn"/>
        </w:rPr>
        <w:t>může řešit. Naopak mezi negativa profese soudního exekutora bych v prvé řadě uvedla vztah m</w:t>
      </w:r>
      <w:r>
        <w:rPr>
          <w:rStyle w:val="dn"/>
          <w:lang w:val="fr-FR"/>
        </w:rPr>
        <w:t>é</w:t>
      </w:r>
      <w:r>
        <w:rPr>
          <w:rStyle w:val="dn"/>
        </w:rPr>
        <w:t>dií a veřejn</w:t>
      </w:r>
      <w:r>
        <w:rPr>
          <w:rStyle w:val="dn"/>
          <w:lang w:val="fr-FR"/>
        </w:rPr>
        <w:t>é</w:t>
      </w:r>
      <w:r>
        <w:rPr>
          <w:rStyle w:val="dn"/>
        </w:rPr>
        <w:t>ho mínění, za která mohou především nafouknut</w:t>
      </w:r>
      <w:r>
        <w:rPr>
          <w:rStyle w:val="dn"/>
          <w:lang w:val="fr-FR"/>
        </w:rPr>
        <w:t xml:space="preserve">é </w:t>
      </w:r>
      <w:r>
        <w:rPr>
          <w:rStyle w:val="dn"/>
          <w:lang w:val="da-DK"/>
        </w:rPr>
        <w:t>medi</w:t>
      </w:r>
      <w:r>
        <w:rPr>
          <w:rStyle w:val="dn"/>
        </w:rPr>
        <w:t>ální kauzy, podá</w:t>
      </w:r>
      <w:r>
        <w:rPr>
          <w:rStyle w:val="dn"/>
          <w:lang w:val="nl-NL"/>
        </w:rPr>
        <w:t>van</w:t>
      </w:r>
      <w:r>
        <w:rPr>
          <w:rStyle w:val="dn"/>
          <w:lang w:val="fr-FR"/>
        </w:rPr>
        <w:t xml:space="preserve">é </w:t>
      </w:r>
      <w:r>
        <w:rPr>
          <w:rStyle w:val="dn"/>
        </w:rPr>
        <w:t>pouze z jednoho pohledu. Do budoucnosti považuji za vhodn</w:t>
      </w:r>
      <w:r>
        <w:rPr>
          <w:rStyle w:val="dn"/>
          <w:lang w:val="fr-FR"/>
        </w:rPr>
        <w:t>é</w:t>
      </w:r>
      <w:r>
        <w:rPr>
          <w:rStyle w:val="dn"/>
        </w:rPr>
        <w:t>, aby vzniklo více obsá</w:t>
      </w:r>
      <w:r>
        <w:rPr>
          <w:rStyle w:val="dn"/>
          <w:lang w:val="de-DE"/>
        </w:rPr>
        <w:t>hl</w:t>
      </w:r>
      <w:r>
        <w:rPr>
          <w:rStyle w:val="dn"/>
        </w:rPr>
        <w:t>ých rozhovorů právě se soudními exekutory, aby měla široká veřejnost možnost nahl</w:t>
      </w:r>
      <w:r>
        <w:rPr>
          <w:rStyle w:val="dn"/>
          <w:lang w:val="fr-FR"/>
        </w:rPr>
        <w:t>é</w:t>
      </w:r>
      <w:r>
        <w:rPr>
          <w:rStyle w:val="dn"/>
        </w:rPr>
        <w:t>dnout do jejich práce i běžných záležitostí pracovního života, neboť v současn</w:t>
      </w:r>
      <w:r>
        <w:rPr>
          <w:rStyle w:val="dn"/>
          <w:lang w:val="fr-FR"/>
        </w:rPr>
        <w:t xml:space="preserve">é </w:t>
      </w:r>
      <w:r>
        <w:rPr>
          <w:rStyle w:val="dn"/>
        </w:rPr>
        <w:t>době jsou právě díky mediální</w:t>
      </w:r>
      <w:r>
        <w:rPr>
          <w:rStyle w:val="dn"/>
          <w:lang w:val="de-DE"/>
        </w:rPr>
        <w:t>m kauz</w:t>
      </w:r>
      <w:r>
        <w:rPr>
          <w:rStyle w:val="dn"/>
        </w:rPr>
        <w:t>ám považováni za ryze negativní pracovníky a díky tomu vzniká mnoho fám a polopravd.</w:t>
      </w:r>
      <w:r>
        <w:rPr>
          <w:rStyle w:val="dn"/>
          <w:vertAlign w:val="superscript"/>
        </w:rPr>
        <w:footnoteReference w:id="133"/>
      </w:r>
    </w:p>
    <w:p w:rsidR="009B70FF" w:rsidRDefault="009B70FF" w:rsidP="009B70FF">
      <w:pPr>
        <w:spacing w:line="240" w:lineRule="auto"/>
        <w:rPr>
          <w:rStyle w:val="dn"/>
          <w:rFonts w:eastAsia="Arial Unicode MS" w:cs="Arial Unicode MS"/>
          <w:szCs w:val="24"/>
        </w:rPr>
      </w:pPr>
      <w:r>
        <w:rPr>
          <w:rStyle w:val="dn"/>
        </w:rPr>
        <w:br w:type="page"/>
      </w:r>
    </w:p>
    <w:p w:rsidR="009B70FF" w:rsidRDefault="009B70FF" w:rsidP="007A2179">
      <w:pPr>
        <w:pStyle w:val="Nadpis1"/>
        <w:numPr>
          <w:ilvl w:val="0"/>
          <w:numId w:val="35"/>
        </w:numPr>
        <w:pBdr>
          <w:top w:val="nil"/>
          <w:left w:val="nil"/>
          <w:bottom w:val="nil"/>
          <w:right w:val="nil"/>
          <w:between w:val="nil"/>
          <w:bar w:val="nil"/>
        </w:pBdr>
        <w:spacing w:before="280" w:after="280" w:line="240" w:lineRule="auto"/>
        <w:ind w:left="709" w:hanging="709"/>
        <w:jc w:val="left"/>
        <w:rPr>
          <w:rFonts w:eastAsia="Times New Roman" w:cs="Times New Roman"/>
          <w:color w:val="000000"/>
        </w:rPr>
      </w:pPr>
      <w:bookmarkStart w:id="106" w:name="_Toc35"/>
      <w:bookmarkStart w:id="107" w:name="_Toc18276750"/>
      <w:bookmarkStart w:id="108" w:name="_Toc18313970"/>
      <w:r>
        <w:rPr>
          <w:rStyle w:val="dn"/>
          <w:color w:val="000000"/>
          <w:u w:color="000000"/>
        </w:rPr>
        <w:t>Stř</w:t>
      </w:r>
      <w:r>
        <w:rPr>
          <w:rStyle w:val="dn"/>
          <w:color w:val="000000"/>
          <w:u w:color="000000"/>
          <w:lang w:val="nl-NL"/>
        </w:rPr>
        <w:t>et exekuc</w:t>
      </w:r>
      <w:r>
        <w:rPr>
          <w:rStyle w:val="dn"/>
          <w:color w:val="000000"/>
          <w:u w:color="000000"/>
        </w:rPr>
        <w:t>í</w:t>
      </w:r>
      <w:bookmarkEnd w:id="106"/>
      <w:bookmarkEnd w:id="107"/>
      <w:bookmarkEnd w:id="108"/>
    </w:p>
    <w:p w:rsidR="009B70FF" w:rsidRDefault="009B70FF" w:rsidP="009B70FF">
      <w:pPr>
        <w:ind w:firstLine="708"/>
        <w:rPr>
          <w:rStyle w:val="dn"/>
          <w:rFonts w:eastAsia="Times New Roman" w:cs="Times New Roman"/>
          <w:szCs w:val="24"/>
        </w:rPr>
      </w:pPr>
      <w:r>
        <w:rPr>
          <w:rStyle w:val="dn"/>
          <w:szCs w:val="24"/>
        </w:rPr>
        <w:t xml:space="preserve">Situace, kdy má dlužník pohledávky u více věřitelů </w:t>
      </w:r>
      <w:r>
        <w:rPr>
          <w:rStyle w:val="dn"/>
          <w:szCs w:val="24"/>
          <w:lang w:val="de-DE"/>
        </w:rPr>
        <w:t>nen</w:t>
      </w:r>
      <w:r>
        <w:rPr>
          <w:rStyle w:val="dn"/>
          <w:szCs w:val="24"/>
        </w:rPr>
        <w:t>í nijak výjimečná. Ne vždy je možn</w:t>
      </w:r>
      <w:r>
        <w:rPr>
          <w:rStyle w:val="dn"/>
          <w:szCs w:val="24"/>
          <w:lang w:val="fr-FR"/>
        </w:rPr>
        <w:t xml:space="preserve">é </w:t>
      </w:r>
      <w:r>
        <w:rPr>
          <w:rStyle w:val="dn"/>
          <w:szCs w:val="24"/>
        </w:rPr>
        <w:t>majetkovou situaci dlužníka řešit konkursem. Dlužník nutně nemusí být v úpadku, a pokud je, tak je tento stav pouze faktický, nenastal de iure.   Souběžně probíhající exekuce jsou upraveny v zákoně 119/2001 Sb., který je účinný od 1. 5. 2001. Tento zákon stanovuje postup exekučních orgánů v případě, jeli souběžně postižená táž majetková hodnota exekucí nařízenou soudem, správcem daně nebo orgánem veřejn</w:t>
      </w:r>
      <w:r>
        <w:rPr>
          <w:rStyle w:val="dn"/>
          <w:szCs w:val="24"/>
          <w:lang w:val="fr-FR"/>
        </w:rPr>
        <w:t xml:space="preserve">é </w:t>
      </w:r>
      <w:r>
        <w:rPr>
          <w:rStyle w:val="dn"/>
          <w:szCs w:val="24"/>
          <w:lang w:val="de-DE"/>
        </w:rPr>
        <w:t>spr</w:t>
      </w:r>
      <w:r>
        <w:rPr>
          <w:rStyle w:val="dn"/>
          <w:szCs w:val="24"/>
        </w:rPr>
        <w:t>ávy. V těchto situacích se pak mohou věřitel</w:t>
      </w:r>
      <w:r>
        <w:rPr>
          <w:rStyle w:val="dn"/>
          <w:szCs w:val="24"/>
          <w:lang w:val="fr-FR"/>
        </w:rPr>
        <w:t xml:space="preserve">é </w:t>
      </w:r>
      <w:r>
        <w:rPr>
          <w:rStyle w:val="dn"/>
          <w:szCs w:val="24"/>
        </w:rPr>
        <w:t>domáhat uspokojení sv</w:t>
      </w:r>
      <w:r>
        <w:rPr>
          <w:rStyle w:val="dn"/>
          <w:szCs w:val="24"/>
          <w:lang w:val="fr-FR"/>
        </w:rPr>
        <w:t xml:space="preserve">é </w:t>
      </w:r>
      <w:r>
        <w:rPr>
          <w:rStyle w:val="dn"/>
          <w:szCs w:val="24"/>
        </w:rPr>
        <w:t>pohledávky z majetku dlužníka cestou individuálně veden</w:t>
      </w:r>
      <w:r>
        <w:rPr>
          <w:rStyle w:val="dn"/>
          <w:szCs w:val="24"/>
          <w:lang w:val="fr-FR"/>
        </w:rPr>
        <w:t xml:space="preserve">é </w:t>
      </w:r>
      <w:r>
        <w:rPr>
          <w:rStyle w:val="dn"/>
          <w:szCs w:val="24"/>
        </w:rPr>
        <w:t>exekuce. V takov</w:t>
      </w:r>
      <w:r>
        <w:rPr>
          <w:rStyle w:val="dn"/>
          <w:szCs w:val="24"/>
          <w:lang w:val="fr-FR"/>
        </w:rPr>
        <w:t xml:space="preserve">é </w:t>
      </w:r>
      <w:r>
        <w:rPr>
          <w:rStyle w:val="dn"/>
          <w:szCs w:val="24"/>
        </w:rPr>
        <w:t>situaci se může stát, ž</w:t>
      </w:r>
      <w:r>
        <w:rPr>
          <w:rStyle w:val="dn"/>
          <w:szCs w:val="24"/>
          <w:lang w:val="it-IT"/>
        </w:rPr>
        <w:t>e si v</w:t>
      </w:r>
      <w:r>
        <w:rPr>
          <w:rStyle w:val="dn"/>
          <w:szCs w:val="24"/>
        </w:rPr>
        <w:t>ěřitel</w:t>
      </w:r>
      <w:r>
        <w:rPr>
          <w:rStyle w:val="dn"/>
          <w:szCs w:val="24"/>
          <w:lang w:val="fr-FR"/>
        </w:rPr>
        <w:t xml:space="preserve">é </w:t>
      </w:r>
      <w:r>
        <w:rPr>
          <w:rStyle w:val="dn"/>
          <w:szCs w:val="24"/>
        </w:rPr>
        <w:t>při snaze vymoci pohledávku, budou vzájemně konkurovat, tzn., že orgán provádějící exekuci bude souběžně s jiným orgánem postihovat tentýž majetek. Z takto souběžně postihovan</w:t>
      </w:r>
      <w:r>
        <w:rPr>
          <w:rStyle w:val="dn"/>
          <w:szCs w:val="24"/>
          <w:lang w:val="fr-FR"/>
        </w:rPr>
        <w:t>é</w:t>
      </w:r>
      <w:r>
        <w:rPr>
          <w:rStyle w:val="dn"/>
          <w:szCs w:val="24"/>
        </w:rPr>
        <w:t>ho majetku by mě</w:t>
      </w:r>
      <w:r>
        <w:rPr>
          <w:rStyle w:val="dn"/>
          <w:szCs w:val="24"/>
          <w:lang w:val="es-ES_tradnl"/>
        </w:rPr>
        <w:t>lo b</w:t>
      </w:r>
      <w:r>
        <w:rPr>
          <w:rStyle w:val="dn"/>
          <w:szCs w:val="24"/>
        </w:rPr>
        <w:t>ýt uspokojeno několik pohledávek více věřitelů, kdy se každý z nich bude domáhat uspokojení v rámci samostatn</w:t>
      </w:r>
      <w:r>
        <w:rPr>
          <w:rStyle w:val="dn"/>
          <w:szCs w:val="24"/>
          <w:lang w:val="fr-FR"/>
        </w:rPr>
        <w:t>é</w:t>
      </w:r>
      <w:r>
        <w:rPr>
          <w:rStyle w:val="dn"/>
          <w:szCs w:val="24"/>
        </w:rPr>
        <w:t>ho řízení o exekuci. Tí</w:t>
      </w:r>
      <w:r>
        <w:rPr>
          <w:rStyle w:val="dn"/>
          <w:szCs w:val="24"/>
          <w:lang w:val="pt-PT"/>
        </w:rPr>
        <w:t>m p</w:t>
      </w:r>
      <w:r>
        <w:rPr>
          <w:rStyle w:val="dn"/>
          <w:szCs w:val="24"/>
        </w:rPr>
        <w:t>ádem bude k exekuci dochá</w:t>
      </w:r>
      <w:r>
        <w:rPr>
          <w:rStyle w:val="dn"/>
          <w:szCs w:val="24"/>
          <w:lang w:val="nl-NL"/>
        </w:rPr>
        <w:t>zet v</w:t>
      </w:r>
      <w:r>
        <w:rPr>
          <w:rStyle w:val="dn"/>
          <w:szCs w:val="24"/>
        </w:rPr>
        <w:t> rámci různý</w:t>
      </w:r>
      <w:r>
        <w:rPr>
          <w:rStyle w:val="dn"/>
          <w:szCs w:val="24"/>
          <w:lang w:val="sv-SE"/>
        </w:rPr>
        <w:t>ch exeku</w:t>
      </w:r>
      <w:r>
        <w:rPr>
          <w:rStyle w:val="dn"/>
          <w:szCs w:val="24"/>
        </w:rPr>
        <w:t>ční</w:t>
      </w:r>
      <w:r>
        <w:rPr>
          <w:rStyle w:val="dn"/>
          <w:szCs w:val="24"/>
          <w:lang w:val="de-DE"/>
        </w:rPr>
        <w:t xml:space="preserve">ch </w:t>
      </w:r>
      <w:r>
        <w:rPr>
          <w:rStyle w:val="dn"/>
          <w:szCs w:val="24"/>
        </w:rPr>
        <w:t>řízení.</w:t>
      </w:r>
      <w:r>
        <w:rPr>
          <w:rStyle w:val="dn"/>
          <w:rFonts w:eastAsia="Times New Roman" w:cs="Times New Roman"/>
          <w:szCs w:val="24"/>
          <w:vertAlign w:val="superscript"/>
        </w:rPr>
        <w:footnoteReference w:id="134"/>
      </w:r>
      <w:r>
        <w:rPr>
          <w:rStyle w:val="dn"/>
          <w:szCs w:val="24"/>
        </w:rPr>
        <w:t xml:space="preserve"> </w:t>
      </w:r>
    </w:p>
    <w:p w:rsidR="009B70FF" w:rsidRDefault="009B70FF" w:rsidP="009B70FF">
      <w:pPr>
        <w:ind w:firstLine="708"/>
        <w:rPr>
          <w:rStyle w:val="dn"/>
          <w:rFonts w:eastAsia="Times New Roman" w:cs="Times New Roman"/>
          <w:szCs w:val="24"/>
        </w:rPr>
      </w:pPr>
      <w:r>
        <w:rPr>
          <w:rStyle w:val="dn"/>
          <w:szCs w:val="24"/>
        </w:rPr>
        <w:t>Vedle exekuce neboli výkonu rozhodnutí, kter</w:t>
      </w:r>
      <w:r>
        <w:rPr>
          <w:rStyle w:val="dn"/>
          <w:szCs w:val="24"/>
          <w:lang w:val="fr-FR"/>
        </w:rPr>
        <w:t xml:space="preserve">é </w:t>
      </w:r>
      <w:r>
        <w:rPr>
          <w:rStyle w:val="dn"/>
          <w:szCs w:val="24"/>
        </w:rPr>
        <w:t xml:space="preserve">provádí soudy, a je prováděn podle OSŘ, se uplatňuje i exekuce, kterou provádí </w:t>
      </w:r>
      <w:r>
        <w:rPr>
          <w:rStyle w:val="dn"/>
          <w:szCs w:val="24"/>
          <w:lang w:val="de-DE"/>
        </w:rPr>
        <w:t>spr</w:t>
      </w:r>
      <w:r>
        <w:rPr>
          <w:rStyle w:val="dn"/>
          <w:szCs w:val="24"/>
        </w:rPr>
        <w:t>ávci daní v rámci sv</w:t>
      </w:r>
      <w:r>
        <w:rPr>
          <w:rStyle w:val="dn"/>
          <w:szCs w:val="24"/>
          <w:lang w:val="fr-FR"/>
        </w:rPr>
        <w:t xml:space="preserve">é </w:t>
      </w:r>
      <w:r>
        <w:rPr>
          <w:rStyle w:val="dn"/>
          <w:szCs w:val="24"/>
        </w:rPr>
        <w:t xml:space="preserve">působnosti dle zákona o správě daní a poplatků. Již </w:t>
      </w:r>
      <w:r>
        <w:rPr>
          <w:rStyle w:val="dn"/>
          <w:szCs w:val="24"/>
          <w:lang w:val="it-IT"/>
        </w:rPr>
        <w:t>del</w:t>
      </w:r>
      <w:r>
        <w:rPr>
          <w:rStyle w:val="dn"/>
          <w:szCs w:val="24"/>
        </w:rPr>
        <w:t>ší dobu je v Č</w:t>
      </w:r>
      <w:r>
        <w:rPr>
          <w:rStyle w:val="dn"/>
          <w:szCs w:val="24"/>
          <w:lang w:val="de-DE"/>
        </w:rPr>
        <w:t>R mo</w:t>
      </w:r>
      <w:r>
        <w:rPr>
          <w:rStyle w:val="dn"/>
          <w:szCs w:val="24"/>
        </w:rPr>
        <w:t>žn</w:t>
      </w:r>
      <w:r>
        <w:rPr>
          <w:rStyle w:val="dn"/>
          <w:szCs w:val="24"/>
          <w:lang w:val="fr-FR"/>
        </w:rPr>
        <w:t>é</w:t>
      </w:r>
      <w:r>
        <w:rPr>
          <w:rStyle w:val="dn"/>
          <w:szCs w:val="24"/>
        </w:rPr>
        <w:t>, aby byla exekuce nařizová</w:t>
      </w:r>
      <w:r>
        <w:rPr>
          <w:rStyle w:val="dn"/>
          <w:szCs w:val="24"/>
          <w:lang w:val="it-IT"/>
        </w:rPr>
        <w:t>na a prov</w:t>
      </w:r>
      <w:r>
        <w:rPr>
          <w:rStyle w:val="dn"/>
          <w:szCs w:val="24"/>
        </w:rPr>
        <w:t>áděna správní</w:t>
      </w:r>
      <w:r>
        <w:rPr>
          <w:rStyle w:val="dn"/>
          <w:szCs w:val="24"/>
          <w:lang w:val="it-IT"/>
        </w:rPr>
        <w:t>mi org</w:t>
      </w:r>
      <w:r>
        <w:rPr>
          <w:rStyle w:val="dn"/>
          <w:szCs w:val="24"/>
        </w:rPr>
        <w:t>ány. Jejich oprávnění k provedení výkonu rozhodnutí je zakotveno v SŘ a zákoně č</w:t>
      </w:r>
      <w:r>
        <w:rPr>
          <w:rStyle w:val="dn"/>
          <w:szCs w:val="24"/>
          <w:lang w:val="pt-PT"/>
        </w:rPr>
        <w:t>. 200/1990 Sb., o p</w:t>
      </w:r>
      <w:r>
        <w:rPr>
          <w:rStyle w:val="dn"/>
          <w:szCs w:val="24"/>
        </w:rPr>
        <w:t>řestupcích. Do působnosti správních orgánů, kter</w:t>
      </w:r>
      <w:r>
        <w:rPr>
          <w:rStyle w:val="dn"/>
          <w:szCs w:val="24"/>
          <w:lang w:val="fr-FR"/>
        </w:rPr>
        <w:t xml:space="preserve">é </w:t>
      </w:r>
      <w:r>
        <w:rPr>
          <w:rStyle w:val="dn"/>
          <w:szCs w:val="24"/>
        </w:rPr>
        <w:t xml:space="preserve">provádějí exekuci, patří </w:t>
      </w:r>
      <w:r>
        <w:rPr>
          <w:rStyle w:val="dn"/>
          <w:szCs w:val="24"/>
          <w:lang w:val="de-DE"/>
        </w:rPr>
        <w:t>spr</w:t>
      </w:r>
      <w:r>
        <w:rPr>
          <w:rStyle w:val="dn"/>
          <w:szCs w:val="24"/>
        </w:rPr>
        <w:t>áva, konkr</w:t>
      </w:r>
      <w:r>
        <w:rPr>
          <w:rStyle w:val="dn"/>
          <w:szCs w:val="24"/>
          <w:lang w:val="fr-FR"/>
        </w:rPr>
        <w:t>é</w:t>
      </w:r>
      <w:r>
        <w:rPr>
          <w:rStyle w:val="dn"/>
          <w:szCs w:val="24"/>
        </w:rPr>
        <w:t>tně vymáhání platebních povinností v rámci daňov</w:t>
      </w:r>
      <w:r>
        <w:rPr>
          <w:rStyle w:val="dn"/>
          <w:szCs w:val="24"/>
          <w:lang w:val="fr-FR"/>
        </w:rPr>
        <w:t xml:space="preserve">é </w:t>
      </w:r>
      <w:r>
        <w:rPr>
          <w:rStyle w:val="dn"/>
          <w:szCs w:val="24"/>
        </w:rPr>
        <w:t>a správní exekuce. Tyto exekuce jsou, na rozdíl od exekucí soudních, omezeny v možnosti využití jako univerzálního prostředku vymáhání pro všechny věřitele. Nicm</w:t>
      </w:r>
      <w:r>
        <w:rPr>
          <w:rStyle w:val="dn"/>
          <w:szCs w:val="24"/>
          <w:lang w:val="fr-FR"/>
        </w:rPr>
        <w:t>é</w:t>
      </w:r>
      <w:r>
        <w:rPr>
          <w:rStyle w:val="dn"/>
          <w:szCs w:val="24"/>
        </w:rPr>
        <w:t xml:space="preserve">ně to nemění nic na tom, že na střetu exekucí se mohou zapříčinit, podílet i ony. </w:t>
      </w:r>
      <w:r>
        <w:rPr>
          <w:rStyle w:val="dn"/>
          <w:rFonts w:eastAsia="Times New Roman" w:cs="Times New Roman"/>
          <w:szCs w:val="24"/>
          <w:vertAlign w:val="superscript"/>
        </w:rPr>
        <w:footnoteReference w:id="135"/>
      </w:r>
    </w:p>
    <w:p w:rsidR="009B70FF" w:rsidRDefault="009B70FF" w:rsidP="009B70FF">
      <w:pPr>
        <w:ind w:firstLine="708"/>
        <w:rPr>
          <w:rStyle w:val="dn"/>
          <w:rFonts w:eastAsia="Times New Roman" w:cs="Times New Roman"/>
          <w:szCs w:val="24"/>
        </w:rPr>
      </w:pPr>
      <w:r>
        <w:rPr>
          <w:rStyle w:val="dn"/>
          <w:szCs w:val="24"/>
        </w:rPr>
        <w:t>Jelikož v OSŘ, jako v tehdy jedin</w:t>
      </w:r>
      <w:r>
        <w:rPr>
          <w:rStyle w:val="dn"/>
          <w:szCs w:val="24"/>
          <w:lang w:val="fr-FR"/>
        </w:rPr>
        <w:t>é</w:t>
      </w:r>
      <w:r>
        <w:rPr>
          <w:rStyle w:val="dn"/>
          <w:szCs w:val="24"/>
          <w:lang w:val="pt-PT"/>
        </w:rPr>
        <w:t>m p</w:t>
      </w:r>
      <w:r>
        <w:rPr>
          <w:rStyle w:val="dn"/>
          <w:szCs w:val="24"/>
        </w:rPr>
        <w:t>ředpisu, který upravoval konkr</w:t>
      </w:r>
      <w:r>
        <w:rPr>
          <w:rStyle w:val="dn"/>
          <w:szCs w:val="24"/>
          <w:lang w:val="fr-FR"/>
        </w:rPr>
        <w:t>é</w:t>
      </w:r>
      <w:r>
        <w:rPr>
          <w:rStyle w:val="dn"/>
          <w:szCs w:val="24"/>
        </w:rPr>
        <w:t>tní postup v exekucích, absentovala právní úprava střetu exekucí, bylo nutn</w:t>
      </w:r>
      <w:r>
        <w:rPr>
          <w:rStyle w:val="dn"/>
          <w:szCs w:val="24"/>
          <w:lang w:val="fr-FR"/>
        </w:rPr>
        <w:t xml:space="preserve">é </w:t>
      </w:r>
      <w:r>
        <w:rPr>
          <w:rStyle w:val="dn"/>
          <w:szCs w:val="24"/>
        </w:rPr>
        <w:t>tyto střety řešit „</w:t>
      </w:r>
      <w:r>
        <w:rPr>
          <w:rStyle w:val="dn"/>
          <w:szCs w:val="24"/>
          <w:lang w:val="en-US"/>
        </w:rPr>
        <w:t>ad hoc</w:t>
      </w:r>
      <w:r>
        <w:rPr>
          <w:rStyle w:val="dn"/>
          <w:szCs w:val="24"/>
        </w:rPr>
        <w:t xml:space="preserve">“ dohodou. Když se jednalo o rozšíření </w:t>
      </w:r>
      <w:r>
        <w:rPr>
          <w:rStyle w:val="dn"/>
          <w:szCs w:val="24"/>
          <w:lang w:val="pt-PT"/>
        </w:rPr>
        <w:t>exeku</w:t>
      </w:r>
      <w:r>
        <w:rPr>
          <w:rStyle w:val="dn"/>
          <w:szCs w:val="24"/>
        </w:rPr>
        <w:t>čních orgánů o soukrom</w:t>
      </w:r>
      <w:r>
        <w:rPr>
          <w:rStyle w:val="dn"/>
          <w:szCs w:val="24"/>
          <w:lang w:val="fr-FR"/>
        </w:rPr>
        <w:t xml:space="preserve">é </w:t>
      </w:r>
      <w:r>
        <w:rPr>
          <w:rStyle w:val="dn"/>
          <w:szCs w:val="24"/>
        </w:rPr>
        <w:t>soudní exekutory, vyvstala zároveň otázka řešení případů střetu exekucí. Spolu s přípravou zákona o soudních exekutorech a exekuční činnosti měl být zaveden další typ řízením, který by mohl v</w:t>
      </w:r>
      <w:r>
        <w:rPr>
          <w:rStyle w:val="dn"/>
          <w:szCs w:val="24"/>
          <w:lang w:val="fr-FR"/>
        </w:rPr>
        <w:t>é</w:t>
      </w:r>
      <w:r>
        <w:rPr>
          <w:rStyle w:val="dn"/>
          <w:szCs w:val="24"/>
        </w:rPr>
        <w:t>st k vymožení vykonatelných pohledávek. Tímto by pak bylo možn</w:t>
      </w:r>
      <w:r>
        <w:rPr>
          <w:rStyle w:val="dn"/>
          <w:szCs w:val="24"/>
          <w:lang w:val="fr-FR"/>
        </w:rPr>
        <w:t>é</w:t>
      </w:r>
      <w:r>
        <w:rPr>
          <w:rStyle w:val="dn"/>
          <w:szCs w:val="24"/>
        </w:rPr>
        <w:t xml:space="preserve"> postihnout majetek, který je již postižený daňovou, soudní či správní exekucí. Př</w:t>
      </w:r>
      <w:r>
        <w:rPr>
          <w:rStyle w:val="dn"/>
          <w:szCs w:val="24"/>
          <w:lang w:val="it-IT"/>
        </w:rPr>
        <w:t>esto</w:t>
      </w:r>
      <w:r>
        <w:rPr>
          <w:rStyle w:val="dn"/>
          <w:szCs w:val="24"/>
        </w:rPr>
        <w:t>že exekuce, kter</w:t>
      </w:r>
      <w:r>
        <w:rPr>
          <w:rStyle w:val="dn"/>
          <w:szCs w:val="24"/>
          <w:lang w:val="fr-FR"/>
        </w:rPr>
        <w:t xml:space="preserve">é </w:t>
      </w:r>
      <w:r>
        <w:rPr>
          <w:rStyle w:val="dn"/>
          <w:szCs w:val="24"/>
        </w:rPr>
        <w:t>se uplatňují, reálně počítají vedle klasick</w:t>
      </w:r>
      <w:r>
        <w:rPr>
          <w:rStyle w:val="dn"/>
          <w:szCs w:val="24"/>
          <w:lang w:val="fr-FR"/>
        </w:rPr>
        <w:t xml:space="preserve">é </w:t>
      </w:r>
      <w:r>
        <w:rPr>
          <w:rStyle w:val="dn"/>
          <w:szCs w:val="24"/>
        </w:rPr>
        <w:t>soudní exekuce s přiměřený</w:t>
      </w:r>
      <w:r>
        <w:rPr>
          <w:rStyle w:val="dn"/>
          <w:szCs w:val="24"/>
          <w:lang w:val="fr-FR"/>
        </w:rPr>
        <w:t>m pou</w:t>
      </w:r>
      <w:r>
        <w:rPr>
          <w:rStyle w:val="dn"/>
          <w:szCs w:val="24"/>
        </w:rPr>
        <w:t>žitím OSŘ, varianta upravení řešení střetů exekucí v rámci OSŘ, který fakticky už některá pravidla v tomto směru obsahoval, zvolena nebyla. Odůvodnění odmítnutí t</w:t>
      </w:r>
      <w:r>
        <w:rPr>
          <w:rStyle w:val="dn"/>
          <w:szCs w:val="24"/>
          <w:lang w:val="fr-FR"/>
        </w:rPr>
        <w:t>é</w:t>
      </w:r>
      <w:r>
        <w:rPr>
          <w:rStyle w:val="dn"/>
          <w:szCs w:val="24"/>
        </w:rPr>
        <w:t xml:space="preserve">to varianty právní úpravy je existence specifik jednotlivých druhů </w:t>
      </w:r>
      <w:r>
        <w:rPr>
          <w:rStyle w:val="dn"/>
          <w:szCs w:val="24"/>
          <w:lang w:val="pt-PT"/>
        </w:rPr>
        <w:t>exeku</w:t>
      </w:r>
      <w:r>
        <w:rPr>
          <w:rStyle w:val="dn"/>
          <w:szCs w:val="24"/>
        </w:rPr>
        <w:t>ční</w:t>
      </w:r>
      <w:r>
        <w:rPr>
          <w:rStyle w:val="dn"/>
          <w:szCs w:val="24"/>
          <w:lang w:val="de-DE"/>
        </w:rPr>
        <w:t xml:space="preserve">ch </w:t>
      </w:r>
      <w:r>
        <w:rPr>
          <w:rStyle w:val="dn"/>
          <w:szCs w:val="24"/>
        </w:rPr>
        <w:t xml:space="preserve">řízení a přece jen jejich relativní samostatnosti </w:t>
      </w:r>
      <w:r>
        <w:rPr>
          <w:rStyle w:val="dn"/>
          <w:szCs w:val="24"/>
          <w:lang w:val="it-IT"/>
        </w:rPr>
        <w:t>a d</w:t>
      </w:r>
      <w:r>
        <w:rPr>
          <w:rStyle w:val="dn"/>
          <w:szCs w:val="24"/>
        </w:rPr>
        <w:t>ále též probl</w:t>
      </w:r>
      <w:r>
        <w:rPr>
          <w:rStyle w:val="dn"/>
          <w:szCs w:val="24"/>
          <w:lang w:val="fr-FR"/>
        </w:rPr>
        <w:t>é</w:t>
      </w:r>
      <w:r>
        <w:rPr>
          <w:rStyle w:val="dn"/>
          <w:szCs w:val="24"/>
        </w:rPr>
        <w:t>mů s nejednotností aplikace platných pravidel, kter</w:t>
      </w:r>
      <w:r>
        <w:rPr>
          <w:rStyle w:val="dn"/>
          <w:szCs w:val="24"/>
          <w:lang w:val="fr-FR"/>
        </w:rPr>
        <w:t xml:space="preserve">á </w:t>
      </w:r>
      <w:r>
        <w:rPr>
          <w:rStyle w:val="dn"/>
          <w:szCs w:val="24"/>
        </w:rPr>
        <w:t xml:space="preserve">jsou zakotvena v OSŘ při postupu exekučních orgánů. Nevhodnou byla i varianta, která vycházela ze zákona o správě daní, jež upravovala pouze střet soudní </w:t>
      </w:r>
      <w:r>
        <w:rPr>
          <w:rStyle w:val="dn"/>
          <w:szCs w:val="24"/>
          <w:lang w:val="it-IT"/>
        </w:rPr>
        <w:t>a da</w:t>
      </w:r>
      <w:r>
        <w:rPr>
          <w:rStyle w:val="dn"/>
          <w:szCs w:val="24"/>
        </w:rPr>
        <w:t>ňov</w:t>
      </w:r>
      <w:r>
        <w:rPr>
          <w:rStyle w:val="dn"/>
          <w:szCs w:val="24"/>
          <w:lang w:val="fr-FR"/>
        </w:rPr>
        <w:t xml:space="preserve">é </w:t>
      </w:r>
      <w:r>
        <w:rPr>
          <w:rStyle w:val="dn"/>
          <w:szCs w:val="24"/>
        </w:rPr>
        <w:t>exekuce, ale forma prováděcího předpisu by nebyla dostačující pro obsah pravidel řešení střetu soudních exekucí a jejich dopadu. Z těchto důvodu byla tudíž zvolena cesta úpravy střetu exekucí samostatným zákonem. Tímto je zákon č</w:t>
      </w:r>
      <w:r>
        <w:rPr>
          <w:rStyle w:val="dn"/>
          <w:szCs w:val="24"/>
          <w:lang w:val="pt-PT"/>
        </w:rPr>
        <w:t>. 119/2001 Sb. o st</w:t>
      </w:r>
      <w:r>
        <w:rPr>
          <w:rStyle w:val="dn"/>
          <w:szCs w:val="24"/>
        </w:rPr>
        <w:t xml:space="preserve">řetu exekucí. Tímto zákonem se stanovují pravidla pro případy souběžně probíhajících výkonů rozhodnutí.  </w:t>
      </w:r>
      <w:r>
        <w:rPr>
          <w:rStyle w:val="dn"/>
          <w:rFonts w:eastAsia="Times New Roman" w:cs="Times New Roman"/>
          <w:szCs w:val="24"/>
          <w:vertAlign w:val="superscript"/>
        </w:rPr>
        <w:footnoteReference w:id="136"/>
      </w:r>
    </w:p>
    <w:p w:rsidR="009B70FF" w:rsidRDefault="00E42459" w:rsidP="00E42459">
      <w:pPr>
        <w:pStyle w:val="Nadpis2"/>
        <w:ind w:firstLine="0"/>
        <w:rPr>
          <w:rFonts w:eastAsia="Times New Roman" w:cs="Times New Roman"/>
        </w:rPr>
      </w:pPr>
      <w:bookmarkStart w:id="109" w:name="_Toc36"/>
      <w:bookmarkStart w:id="110" w:name="_Toc18276751"/>
      <w:bookmarkStart w:id="111" w:name="_Toc18313971"/>
      <w:r>
        <w:rPr>
          <w:rStyle w:val="dn"/>
        </w:rPr>
        <w:t>5.1</w:t>
      </w:r>
      <w:r>
        <w:rPr>
          <w:rStyle w:val="dn"/>
        </w:rPr>
        <w:tab/>
      </w:r>
      <w:r w:rsidR="009B70FF" w:rsidRPr="00E42459">
        <w:rPr>
          <w:rStyle w:val="dn"/>
        </w:rPr>
        <w:t>Zákon</w:t>
      </w:r>
      <w:r w:rsidR="009B70FF">
        <w:rPr>
          <w:rStyle w:val="dn"/>
          <w:color w:val="000000"/>
          <w:sz w:val="24"/>
          <w:szCs w:val="24"/>
          <w:u w:color="000000"/>
        </w:rPr>
        <w:t xml:space="preserve"> upravující stř</w:t>
      </w:r>
      <w:r w:rsidR="009B70FF">
        <w:rPr>
          <w:rStyle w:val="dn"/>
          <w:color w:val="000000"/>
          <w:sz w:val="24"/>
          <w:szCs w:val="24"/>
          <w:u w:color="000000"/>
          <w:lang w:val="nl-NL"/>
        </w:rPr>
        <w:t>et exekuc</w:t>
      </w:r>
      <w:r>
        <w:rPr>
          <w:rStyle w:val="dn"/>
          <w:color w:val="000000"/>
          <w:sz w:val="24"/>
          <w:szCs w:val="24"/>
          <w:u w:color="000000"/>
          <w:lang w:val="nl-NL"/>
        </w:rPr>
        <w:t>í</w:t>
      </w:r>
      <w:bookmarkEnd w:id="109"/>
      <w:bookmarkEnd w:id="110"/>
      <w:bookmarkEnd w:id="111"/>
    </w:p>
    <w:p w:rsidR="009B70FF" w:rsidRDefault="009B70FF" w:rsidP="009B70FF">
      <w:pPr>
        <w:ind w:firstLine="708"/>
        <w:rPr>
          <w:rStyle w:val="dn"/>
          <w:rFonts w:eastAsia="Times New Roman" w:cs="Times New Roman"/>
          <w:szCs w:val="24"/>
        </w:rPr>
      </w:pPr>
      <w:r>
        <w:rPr>
          <w:rStyle w:val="dn"/>
          <w:szCs w:val="24"/>
        </w:rPr>
        <w:t>Zákon o souběhu exekucí upravuje postup soudů, soudních exekutorů, správců daně a orgánů veřejn</w:t>
      </w:r>
      <w:r>
        <w:rPr>
          <w:rStyle w:val="dn"/>
          <w:szCs w:val="24"/>
          <w:lang w:val="fr-FR"/>
        </w:rPr>
        <w:t xml:space="preserve">é </w:t>
      </w:r>
      <w:r>
        <w:rPr>
          <w:rStyle w:val="dn"/>
          <w:szCs w:val="24"/>
          <w:lang w:val="de-DE"/>
        </w:rPr>
        <w:t>spr</w:t>
      </w:r>
      <w:r>
        <w:rPr>
          <w:rStyle w:val="dn"/>
          <w:szCs w:val="24"/>
        </w:rPr>
        <w:t>ávy, správců daně a orgánů veřejn</w:t>
      </w:r>
      <w:r>
        <w:rPr>
          <w:rStyle w:val="dn"/>
          <w:szCs w:val="24"/>
          <w:lang w:val="fr-FR"/>
        </w:rPr>
        <w:t xml:space="preserve">é </w:t>
      </w:r>
      <w:r>
        <w:rPr>
          <w:rStyle w:val="dn"/>
          <w:szCs w:val="24"/>
          <w:lang w:val="de-DE"/>
        </w:rPr>
        <w:t>spr</w:t>
      </w:r>
      <w:r>
        <w:rPr>
          <w:rStyle w:val="dn"/>
          <w:szCs w:val="24"/>
        </w:rPr>
        <w:t>ávy při provádění exekucí v případě, že je exekucemi, kter</w:t>
      </w:r>
      <w:r>
        <w:rPr>
          <w:rStyle w:val="dn"/>
          <w:szCs w:val="24"/>
          <w:lang w:val="fr-FR"/>
        </w:rPr>
        <w:t xml:space="preserve">é </w:t>
      </w:r>
      <w:r>
        <w:rPr>
          <w:rStyle w:val="dn"/>
          <w:szCs w:val="24"/>
        </w:rPr>
        <w:t>nařídil soud, správce daní č</w:t>
      </w:r>
      <w:r>
        <w:rPr>
          <w:rStyle w:val="dn"/>
          <w:szCs w:val="24"/>
          <w:lang w:val="it-IT"/>
        </w:rPr>
        <w:t>i org</w:t>
      </w:r>
      <w:r>
        <w:rPr>
          <w:rStyle w:val="dn"/>
          <w:szCs w:val="24"/>
        </w:rPr>
        <w:t>á</w:t>
      </w:r>
      <w:r>
        <w:rPr>
          <w:rStyle w:val="dn"/>
          <w:szCs w:val="24"/>
          <w:lang w:val="de-DE"/>
        </w:rPr>
        <w:t>n ve</w:t>
      </w:r>
      <w:r>
        <w:rPr>
          <w:rStyle w:val="dn"/>
          <w:szCs w:val="24"/>
        </w:rPr>
        <w:t>řejn</w:t>
      </w:r>
      <w:r>
        <w:rPr>
          <w:rStyle w:val="dn"/>
          <w:szCs w:val="24"/>
          <w:lang w:val="fr-FR"/>
        </w:rPr>
        <w:t xml:space="preserve">é </w:t>
      </w:r>
      <w:r>
        <w:rPr>
          <w:rStyle w:val="dn"/>
          <w:szCs w:val="24"/>
          <w:lang w:val="de-DE"/>
        </w:rPr>
        <w:t>spr</w:t>
      </w:r>
      <w:r>
        <w:rPr>
          <w:rStyle w:val="dn"/>
          <w:szCs w:val="24"/>
        </w:rPr>
        <w:t>ávy souběžně postižena stejná majetková hodnota. Jestliže je řeč o subjektech, kter</w:t>
      </w:r>
      <w:r>
        <w:rPr>
          <w:rStyle w:val="dn"/>
          <w:szCs w:val="24"/>
          <w:lang w:val="fr-FR"/>
        </w:rPr>
        <w:t xml:space="preserve">é </w:t>
      </w:r>
      <w:r>
        <w:rPr>
          <w:rStyle w:val="dn"/>
          <w:szCs w:val="24"/>
        </w:rPr>
        <w:t>podle tohoto zákona postupují, jsou jimi výše vyjmenovan</w:t>
      </w:r>
      <w:r>
        <w:rPr>
          <w:rStyle w:val="dn"/>
          <w:szCs w:val="24"/>
          <w:lang w:val="fr-FR"/>
        </w:rPr>
        <w:t xml:space="preserve">é </w:t>
      </w:r>
      <w:r>
        <w:rPr>
          <w:rStyle w:val="dn"/>
          <w:szCs w:val="24"/>
          <w:lang w:val="pt-PT"/>
        </w:rPr>
        <w:t>exeku</w:t>
      </w:r>
      <w:r>
        <w:rPr>
          <w:rStyle w:val="dn"/>
          <w:szCs w:val="24"/>
        </w:rPr>
        <w:t>ční orgány provádějící exekuci. Při střetu exekucí jsou zákonem stanovena pravidla, a podle nichž mají postupovat i další subjekty, jež se podílejí na souběžně probíhajících exekucích. Těmito subjekty mohou bý</w:t>
      </w:r>
      <w:r>
        <w:rPr>
          <w:rStyle w:val="dn"/>
          <w:szCs w:val="24"/>
          <w:lang w:val="nl-NL"/>
        </w:rPr>
        <w:t>t opr</w:t>
      </w:r>
      <w:r>
        <w:rPr>
          <w:rStyle w:val="dn"/>
          <w:szCs w:val="24"/>
        </w:rPr>
        <w:t>ávnění ze souběžně probíhajících exekucí, povinný, ale tak</w:t>
      </w:r>
      <w:r>
        <w:rPr>
          <w:rStyle w:val="dn"/>
          <w:szCs w:val="24"/>
          <w:lang w:val="fr-FR"/>
        </w:rPr>
        <w:t xml:space="preserve">é </w:t>
      </w:r>
      <w:r>
        <w:rPr>
          <w:rStyle w:val="dn"/>
          <w:szCs w:val="24"/>
        </w:rPr>
        <w:t>plátce mzdy, případně. poddlužník. Za exekuci pro účely zákona řešící tento souběžný průběh se považuje:</w:t>
      </w:r>
      <w:r>
        <w:rPr>
          <w:rStyle w:val="dn"/>
          <w:rFonts w:eastAsia="Times New Roman" w:cs="Times New Roman"/>
          <w:szCs w:val="24"/>
          <w:vertAlign w:val="superscript"/>
        </w:rPr>
        <w:footnoteReference w:id="137"/>
      </w:r>
    </w:p>
    <w:p w:rsidR="009B70FF" w:rsidRDefault="009B70FF" w:rsidP="009B70FF">
      <w:pPr>
        <w:rPr>
          <w:rStyle w:val="dn"/>
          <w:rFonts w:eastAsia="Times New Roman" w:cs="Times New Roman"/>
          <w:i/>
          <w:iCs/>
          <w:szCs w:val="24"/>
        </w:rPr>
      </w:pPr>
      <w:r>
        <w:rPr>
          <w:rStyle w:val="dn"/>
          <w:i/>
          <w:iCs/>
          <w:szCs w:val="24"/>
        </w:rPr>
        <w:t>„- výkon rozhodnutí nařízený soudem a soudem prováděný,</w:t>
      </w:r>
    </w:p>
    <w:p w:rsidR="009B70FF" w:rsidRDefault="009B70FF" w:rsidP="009B70FF">
      <w:pPr>
        <w:rPr>
          <w:rStyle w:val="dn"/>
          <w:rFonts w:eastAsia="Times New Roman" w:cs="Times New Roman"/>
          <w:i/>
          <w:iCs/>
          <w:szCs w:val="24"/>
        </w:rPr>
      </w:pPr>
      <w:r>
        <w:rPr>
          <w:rStyle w:val="dn"/>
          <w:i/>
          <w:iCs/>
          <w:szCs w:val="24"/>
        </w:rPr>
        <w:t>- exekuce nařízená soudem a prováděná soudním exekutorem,</w:t>
      </w:r>
    </w:p>
    <w:p w:rsidR="009B70FF" w:rsidRDefault="009B70FF" w:rsidP="009B70FF">
      <w:pPr>
        <w:rPr>
          <w:rStyle w:val="dn"/>
          <w:rFonts w:eastAsia="Times New Roman" w:cs="Times New Roman"/>
          <w:i/>
          <w:iCs/>
          <w:szCs w:val="24"/>
        </w:rPr>
      </w:pPr>
      <w:r>
        <w:rPr>
          <w:rStyle w:val="dn"/>
          <w:i/>
          <w:iCs/>
          <w:szCs w:val="24"/>
        </w:rPr>
        <w:t xml:space="preserve">- daňová exekuce nařízená a prováděná </w:t>
      </w:r>
      <w:r>
        <w:rPr>
          <w:rStyle w:val="dn"/>
          <w:i/>
          <w:iCs/>
          <w:szCs w:val="24"/>
          <w:lang w:val="de-DE"/>
        </w:rPr>
        <w:t>spr</w:t>
      </w:r>
      <w:r>
        <w:rPr>
          <w:rStyle w:val="dn"/>
          <w:i/>
          <w:iCs/>
          <w:szCs w:val="24"/>
        </w:rPr>
        <w:t>ávcem daně a</w:t>
      </w:r>
    </w:p>
    <w:p w:rsidR="009B70FF" w:rsidRDefault="009B70FF" w:rsidP="009B70FF">
      <w:pPr>
        <w:rPr>
          <w:rStyle w:val="dn"/>
          <w:rFonts w:eastAsia="Times New Roman" w:cs="Times New Roman"/>
          <w:i/>
          <w:iCs/>
          <w:szCs w:val="24"/>
        </w:rPr>
      </w:pPr>
      <w:r>
        <w:rPr>
          <w:rStyle w:val="dn"/>
          <w:i/>
          <w:iCs/>
          <w:szCs w:val="24"/>
        </w:rPr>
        <w:t>- výkon rozhodnutí nařízený a prováděný orgánem veřejn</w:t>
      </w:r>
      <w:r>
        <w:rPr>
          <w:rStyle w:val="dn"/>
          <w:i/>
          <w:iCs/>
          <w:szCs w:val="24"/>
          <w:lang w:val="fr-FR"/>
        </w:rPr>
        <w:t xml:space="preserve">é </w:t>
      </w:r>
      <w:r>
        <w:rPr>
          <w:rStyle w:val="dn"/>
          <w:i/>
          <w:iCs/>
          <w:szCs w:val="24"/>
          <w:lang w:val="de-DE"/>
        </w:rPr>
        <w:t>spr</w:t>
      </w:r>
      <w:r>
        <w:rPr>
          <w:rStyle w:val="dn"/>
          <w:i/>
          <w:iCs/>
          <w:szCs w:val="24"/>
        </w:rPr>
        <w:t>ávy.“</w:t>
      </w:r>
    </w:p>
    <w:p w:rsidR="009B70FF" w:rsidRDefault="009B70FF" w:rsidP="009B70FF">
      <w:pPr>
        <w:ind w:firstLine="708"/>
        <w:rPr>
          <w:rStyle w:val="dn"/>
          <w:rFonts w:eastAsia="Times New Roman" w:cs="Times New Roman"/>
          <w:szCs w:val="24"/>
        </w:rPr>
      </w:pPr>
      <w:r>
        <w:rPr>
          <w:rStyle w:val="dn"/>
          <w:szCs w:val="24"/>
        </w:rPr>
        <w:t>Co se týče existujících prostředků výkonu rozhodnutí, př</w:t>
      </w:r>
      <w:r>
        <w:rPr>
          <w:rStyle w:val="dn"/>
          <w:szCs w:val="24"/>
          <w:lang w:val="de-DE"/>
        </w:rPr>
        <w:t>ich</w:t>
      </w:r>
      <w:r>
        <w:rPr>
          <w:rStyle w:val="dn"/>
          <w:szCs w:val="24"/>
        </w:rPr>
        <w:t>ází v úvahu stř</w:t>
      </w:r>
      <w:r>
        <w:rPr>
          <w:rStyle w:val="dn"/>
          <w:szCs w:val="24"/>
          <w:lang w:val="da-DK"/>
        </w:rPr>
        <w:t>et v</w:t>
      </w:r>
      <w:r>
        <w:rPr>
          <w:rStyle w:val="dn"/>
          <w:szCs w:val="24"/>
        </w:rPr>
        <w:t>šech způ</w:t>
      </w:r>
      <w:r>
        <w:rPr>
          <w:rStyle w:val="dn"/>
          <w:szCs w:val="24"/>
          <w:lang w:val="es-ES_tradnl"/>
        </w:rPr>
        <w:t>sob</w:t>
      </w:r>
      <w:r>
        <w:rPr>
          <w:rStyle w:val="dn"/>
          <w:szCs w:val="24"/>
        </w:rPr>
        <w:t>ů exekucí. V některých případech je to vyloučeno. Oproti soudem nařizovan</w:t>
      </w:r>
      <w:r>
        <w:rPr>
          <w:rStyle w:val="dn"/>
          <w:szCs w:val="24"/>
          <w:lang w:val="fr-FR"/>
        </w:rPr>
        <w:t xml:space="preserve">é </w:t>
      </w:r>
      <w:r>
        <w:rPr>
          <w:rStyle w:val="dn"/>
          <w:szCs w:val="24"/>
        </w:rPr>
        <w:t>exekuci je daňová a správní exekuce co do přípustný</w:t>
      </w:r>
      <w:r>
        <w:rPr>
          <w:rStyle w:val="dn"/>
          <w:szCs w:val="24"/>
          <w:lang w:val="sv-SE"/>
        </w:rPr>
        <w:t>ch exeku</w:t>
      </w:r>
      <w:r>
        <w:rPr>
          <w:rStyle w:val="dn"/>
          <w:szCs w:val="24"/>
        </w:rPr>
        <w:t>čních prostředků omezena. Výkon rozhodnutí prováděný soudem př</w:t>
      </w:r>
      <w:r>
        <w:rPr>
          <w:rStyle w:val="dn"/>
          <w:szCs w:val="24"/>
          <w:lang w:val="fr-FR"/>
        </w:rPr>
        <w:t>ipou</w:t>
      </w:r>
      <w:r>
        <w:rPr>
          <w:rStyle w:val="dn"/>
          <w:szCs w:val="24"/>
        </w:rPr>
        <w:t>ští dle § 258 odst. 1 OSŘ tyto zá</w:t>
      </w:r>
      <w:r>
        <w:rPr>
          <w:rStyle w:val="dn"/>
          <w:szCs w:val="24"/>
          <w:lang w:val="de-DE"/>
        </w:rPr>
        <w:t>konn</w:t>
      </w:r>
      <w:r>
        <w:rPr>
          <w:rStyle w:val="dn"/>
          <w:szCs w:val="24"/>
          <w:lang w:val="fr-FR"/>
        </w:rPr>
        <w:t xml:space="preserve">é </w:t>
      </w:r>
      <w:r>
        <w:rPr>
          <w:rStyle w:val="dn"/>
          <w:szCs w:val="24"/>
        </w:rPr>
        <w:t>způsoby provedení:</w:t>
      </w:r>
    </w:p>
    <w:p w:rsidR="009B70FF" w:rsidRDefault="009B70FF" w:rsidP="009B70FF">
      <w:pPr>
        <w:rPr>
          <w:rStyle w:val="dn"/>
          <w:rFonts w:eastAsia="Times New Roman" w:cs="Times New Roman"/>
          <w:i/>
          <w:iCs/>
          <w:szCs w:val="24"/>
        </w:rPr>
      </w:pPr>
      <w:r>
        <w:rPr>
          <w:rStyle w:val="dn"/>
          <w:i/>
          <w:iCs/>
          <w:szCs w:val="24"/>
        </w:rPr>
        <w:t>srážky ze mzdy, přikázání pohledávky, prodej movitých věcí a nemovitostí, prodej podniku a zřízení soudcovsk</w:t>
      </w:r>
      <w:r>
        <w:rPr>
          <w:rStyle w:val="dn"/>
          <w:i/>
          <w:iCs/>
          <w:szCs w:val="24"/>
          <w:lang w:val="fr-FR"/>
        </w:rPr>
        <w:t>é</w:t>
      </w:r>
      <w:r>
        <w:rPr>
          <w:rStyle w:val="dn"/>
          <w:i/>
          <w:iCs/>
          <w:szCs w:val="24"/>
        </w:rPr>
        <w:t xml:space="preserve">ho zástavního práva k nemovitostem </w:t>
      </w:r>
    </w:p>
    <w:p w:rsidR="009B70FF" w:rsidRPr="0040063B" w:rsidRDefault="009B70FF" w:rsidP="009B70FF">
      <w:pPr>
        <w:ind w:firstLine="708"/>
        <w:rPr>
          <w:rStyle w:val="dn"/>
          <w:rFonts w:cs="Times New Roman"/>
          <w:szCs w:val="24"/>
        </w:rPr>
      </w:pPr>
      <w:r w:rsidRPr="0040063B">
        <w:rPr>
          <w:rStyle w:val="dn"/>
          <w:rFonts w:cs="Times New Roman"/>
          <w:szCs w:val="24"/>
        </w:rPr>
        <w:t xml:space="preserve">Oproti soudu či soudnímu exekutorovi není </w:t>
      </w:r>
      <w:r w:rsidRPr="0040063B">
        <w:rPr>
          <w:rStyle w:val="dn"/>
          <w:rFonts w:cs="Times New Roman"/>
          <w:szCs w:val="24"/>
          <w:lang w:val="de-DE"/>
        </w:rPr>
        <w:t>spr</w:t>
      </w:r>
      <w:r w:rsidRPr="0040063B">
        <w:rPr>
          <w:rStyle w:val="dn"/>
          <w:rFonts w:cs="Times New Roman"/>
          <w:szCs w:val="24"/>
        </w:rPr>
        <w:t>ávce daně při provádění daňov</w:t>
      </w:r>
      <w:r w:rsidRPr="0040063B">
        <w:rPr>
          <w:rStyle w:val="dn"/>
          <w:rFonts w:cs="Times New Roman"/>
          <w:szCs w:val="24"/>
          <w:lang w:val="fr-FR"/>
        </w:rPr>
        <w:t xml:space="preserve">é </w:t>
      </w:r>
      <w:r w:rsidRPr="0040063B">
        <w:rPr>
          <w:rStyle w:val="dn"/>
          <w:rFonts w:cs="Times New Roman"/>
          <w:szCs w:val="24"/>
        </w:rPr>
        <w:t>exekuce oprávněn sám nařídit exekuci prodejem podniku a exekuci post</w:t>
      </w:r>
      <w:r>
        <w:rPr>
          <w:rStyle w:val="dn"/>
          <w:rFonts w:cs="Times New Roman"/>
          <w:szCs w:val="24"/>
        </w:rPr>
        <w:t>ižením jiných majetkových práv.</w:t>
      </w:r>
      <w:r w:rsidRPr="0040063B">
        <w:rPr>
          <w:rStyle w:val="dn"/>
          <w:rFonts w:cs="Times New Roman"/>
          <w:szCs w:val="24"/>
        </w:rPr>
        <w:t xml:space="preserve"> Správce může exekuci prov</w:t>
      </w:r>
      <w:r w:rsidRPr="0040063B">
        <w:rPr>
          <w:rStyle w:val="dn"/>
          <w:rFonts w:cs="Times New Roman"/>
          <w:szCs w:val="24"/>
          <w:lang w:val="fr-FR"/>
        </w:rPr>
        <w:t>é</w:t>
      </w:r>
      <w:r w:rsidRPr="0040063B">
        <w:rPr>
          <w:rStyle w:val="dn"/>
          <w:rFonts w:cs="Times New Roman"/>
          <w:szCs w:val="24"/>
        </w:rPr>
        <w:t>st sám, a to srážkami ze mzdy, přikázáním pohledávky (z účtu nebo jin</w:t>
      </w:r>
      <w:r w:rsidRPr="0040063B">
        <w:rPr>
          <w:rStyle w:val="dn"/>
          <w:rFonts w:cs="Times New Roman"/>
          <w:szCs w:val="24"/>
          <w:lang w:val="fr-FR"/>
        </w:rPr>
        <w:t xml:space="preserve">é </w:t>
      </w:r>
      <w:r w:rsidRPr="0040063B">
        <w:rPr>
          <w:rStyle w:val="dn"/>
          <w:rFonts w:cs="Times New Roman"/>
          <w:szCs w:val="24"/>
        </w:rPr>
        <w:t>pohledávky), prodejem movitých věcí a prodejem nemovitostí. Na střetu exekucí se může správní exekuce podílet jen v případě nařízení exekuce srážkami z</w:t>
      </w:r>
      <w:r>
        <w:rPr>
          <w:rStyle w:val="dn"/>
          <w:rFonts w:cs="Times New Roman"/>
          <w:szCs w:val="24"/>
        </w:rPr>
        <w:t>e mzdy, přikázáním pohledávky a </w:t>
      </w:r>
      <w:r w:rsidRPr="0040063B">
        <w:rPr>
          <w:rStyle w:val="dn"/>
          <w:rFonts w:cs="Times New Roman"/>
          <w:szCs w:val="24"/>
        </w:rPr>
        <w:t>prodejem movitých věcí. Spolu s právní</w:t>
      </w:r>
      <w:r w:rsidRPr="0040063B">
        <w:rPr>
          <w:rStyle w:val="dn"/>
          <w:rFonts w:cs="Times New Roman"/>
          <w:szCs w:val="24"/>
          <w:lang w:val="it-IT"/>
        </w:rPr>
        <w:t>mi p</w:t>
      </w:r>
      <w:r w:rsidRPr="0040063B">
        <w:rPr>
          <w:rStyle w:val="dn"/>
          <w:rFonts w:cs="Times New Roman"/>
          <w:szCs w:val="24"/>
        </w:rPr>
        <w:t>ředpisy zakotvený</w:t>
      </w:r>
      <w:r w:rsidRPr="0040063B">
        <w:rPr>
          <w:rStyle w:val="dn"/>
          <w:rFonts w:cs="Times New Roman"/>
          <w:szCs w:val="24"/>
          <w:lang w:val="sv-SE"/>
        </w:rPr>
        <w:t>ch exeku</w:t>
      </w:r>
      <w:r w:rsidRPr="0040063B">
        <w:rPr>
          <w:rStyle w:val="dn"/>
          <w:rFonts w:cs="Times New Roman"/>
          <w:szCs w:val="24"/>
        </w:rPr>
        <w:t>čních prostředků sloužící</w:t>
      </w:r>
      <w:r w:rsidRPr="0040063B">
        <w:rPr>
          <w:rStyle w:val="dn"/>
          <w:rFonts w:cs="Times New Roman"/>
          <w:szCs w:val="24"/>
          <w:lang w:val="de-DE"/>
        </w:rPr>
        <w:t>ch k</w:t>
      </w:r>
      <w:r w:rsidRPr="0040063B">
        <w:rPr>
          <w:rStyle w:val="dn"/>
          <w:rFonts w:cs="Times New Roman"/>
          <w:szCs w:val="24"/>
        </w:rPr>
        <w:t> vymožení peněžitých pohledávek za povinným jsou zároveň předmětově vymezeny případy možn</w:t>
      </w:r>
      <w:r w:rsidRPr="0040063B">
        <w:rPr>
          <w:rStyle w:val="dn"/>
          <w:rFonts w:cs="Times New Roman"/>
          <w:szCs w:val="24"/>
          <w:lang w:val="fr-FR"/>
        </w:rPr>
        <w:t>é</w:t>
      </w:r>
      <w:r w:rsidRPr="0040063B">
        <w:rPr>
          <w:rStyle w:val="dn"/>
          <w:rFonts w:cs="Times New Roman"/>
          <w:szCs w:val="24"/>
        </w:rPr>
        <w:t xml:space="preserve">ho souběhu exekucí, jsou-li tyto exekuce nařizovány a prováděny k vymožení několika pohledávek. </w:t>
      </w:r>
    </w:p>
    <w:p w:rsidR="009B70FF" w:rsidRPr="00B3676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ab/>
      </w:r>
      <w:r w:rsidR="00B36766">
        <w:rPr>
          <w:rStyle w:val="dn"/>
          <w:rFonts w:ascii="Times New Roman" w:hAnsi="Times New Roman"/>
          <w:i/>
          <w:sz w:val="24"/>
          <w:szCs w:val="24"/>
          <w:shd w:val="clear" w:color="auto" w:fill="FFFFFF"/>
        </w:rPr>
        <w:t>„</w:t>
      </w:r>
      <w:r w:rsidRPr="00B36766">
        <w:rPr>
          <w:rStyle w:val="dn"/>
          <w:rFonts w:ascii="Times New Roman" w:hAnsi="Times New Roman"/>
          <w:i/>
          <w:sz w:val="24"/>
          <w:szCs w:val="24"/>
          <w:shd w:val="clear" w:color="auto" w:fill="FFFFFF"/>
        </w:rPr>
        <w:t>Srážky ze mzdy a jiných příjmů. - vtomto případě se uspokojují pohledávky podle pořadí. To se řídí dnem doručení usnesení soudu o nařízení výkonu rozhodnutí srážkami ze mzdy, příkazu soudní</w:t>
      </w:r>
      <w:r w:rsidRPr="00B36766">
        <w:rPr>
          <w:rStyle w:val="dn"/>
          <w:rFonts w:ascii="Times New Roman" w:hAnsi="Times New Roman"/>
          <w:i/>
          <w:sz w:val="24"/>
          <w:szCs w:val="24"/>
          <w:shd w:val="clear" w:color="auto" w:fill="FFFFFF"/>
          <w:lang w:val="pt-PT"/>
        </w:rPr>
        <w:t>ho exekutora o proveden</w:t>
      </w:r>
      <w:r w:rsidRPr="00B36766">
        <w:rPr>
          <w:rStyle w:val="dn"/>
          <w:rFonts w:ascii="Times New Roman" w:hAnsi="Times New Roman"/>
          <w:i/>
          <w:sz w:val="24"/>
          <w:szCs w:val="24"/>
          <w:shd w:val="clear" w:color="auto" w:fill="FFFFFF"/>
        </w:rPr>
        <w:t>í srážek ze mzdy, příkazu správce daně o provedení srážek ze mzdy nebo příkazu k provedení srážek ze mzdy, jenž vydal orgá</w:t>
      </w:r>
      <w:r w:rsidRPr="00B36766">
        <w:rPr>
          <w:rStyle w:val="dn"/>
          <w:rFonts w:ascii="Times New Roman" w:hAnsi="Times New Roman"/>
          <w:i/>
          <w:sz w:val="24"/>
          <w:szCs w:val="24"/>
          <w:shd w:val="clear" w:color="auto" w:fill="FFFFFF"/>
          <w:lang w:val="nl-NL"/>
        </w:rPr>
        <w:t>n ver</w:t>
      </w:r>
      <w:r w:rsidRPr="00B36766">
        <w:rPr>
          <w:rStyle w:val="dn"/>
          <w:rFonts w:ascii="Times New Roman" w:hAnsi="Times New Roman"/>
          <w:i/>
          <w:sz w:val="24"/>
          <w:szCs w:val="24"/>
          <w:shd w:val="clear" w:color="auto" w:fill="FFFFFF"/>
        </w:rPr>
        <w:t>̌ejn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lang w:val="de-DE"/>
        </w:rPr>
        <w:t>spr</w:t>
      </w:r>
      <w:r w:rsidRPr="00B36766">
        <w:rPr>
          <w:rStyle w:val="dn"/>
          <w:rFonts w:ascii="Times New Roman" w:hAnsi="Times New Roman"/>
          <w:i/>
          <w:sz w:val="24"/>
          <w:szCs w:val="24"/>
          <w:shd w:val="clear" w:color="auto" w:fill="FFFFFF"/>
        </w:rPr>
        <w:t>ávy. V případě, ž</w:t>
      </w:r>
      <w:r w:rsidRPr="00B36766">
        <w:rPr>
          <w:rStyle w:val="dn"/>
          <w:rFonts w:ascii="Times New Roman" w:hAnsi="Times New Roman"/>
          <w:i/>
          <w:sz w:val="24"/>
          <w:szCs w:val="24"/>
          <w:shd w:val="clear" w:color="auto" w:fill="FFFFFF"/>
          <w:lang w:val="en-US"/>
        </w:rPr>
        <w:t>e pl</w:t>
      </w:r>
      <w:r w:rsidRPr="00B36766">
        <w:rPr>
          <w:rStyle w:val="dn"/>
          <w:rFonts w:ascii="Times New Roman" w:hAnsi="Times New Roman"/>
          <w:i/>
          <w:sz w:val="24"/>
          <w:szCs w:val="24"/>
          <w:shd w:val="clear" w:color="auto" w:fill="FFFFFF"/>
        </w:rPr>
        <w:t>átci mzdy bylo t</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hož dne doručeno více rozhodnutí pro pohledávky, tato mají stejn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pořadí. Pokud na jejich pln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 xml:space="preserve">uspokojení </w:t>
      </w:r>
      <w:r w:rsidRPr="00B36766">
        <w:rPr>
          <w:rStyle w:val="dn"/>
          <w:rFonts w:ascii="Times New Roman" w:hAnsi="Times New Roman"/>
          <w:i/>
          <w:sz w:val="24"/>
          <w:szCs w:val="24"/>
          <w:shd w:val="clear" w:color="auto" w:fill="FFFFFF"/>
          <w:lang w:val="pt-PT"/>
        </w:rPr>
        <w:t>nestac</w:t>
      </w:r>
      <w:r w:rsidRPr="00B36766">
        <w:rPr>
          <w:rStyle w:val="dn"/>
          <w:rFonts w:ascii="Times New Roman" w:hAnsi="Times New Roman"/>
          <w:i/>
          <w:sz w:val="24"/>
          <w:szCs w:val="24"/>
          <w:shd w:val="clear" w:color="auto" w:fill="FFFFFF"/>
        </w:rPr>
        <w:t xml:space="preserve">̌í </w:t>
      </w:r>
      <w:r w:rsidRPr="00B36766">
        <w:rPr>
          <w:rStyle w:val="dn"/>
          <w:rFonts w:ascii="Times New Roman" w:hAnsi="Times New Roman"/>
          <w:i/>
          <w:sz w:val="24"/>
          <w:szCs w:val="24"/>
          <w:shd w:val="clear" w:color="auto" w:fill="FFFFFF"/>
          <w:lang w:val="de-DE"/>
        </w:rPr>
        <w:t>urc</w:t>
      </w:r>
      <w:r w:rsidRPr="00B36766">
        <w:rPr>
          <w:rStyle w:val="dn"/>
          <w:rFonts w:ascii="Times New Roman" w:hAnsi="Times New Roman"/>
          <w:i/>
          <w:sz w:val="24"/>
          <w:szCs w:val="24"/>
          <w:shd w:val="clear" w:color="auto" w:fill="FFFFFF"/>
        </w:rPr>
        <w:t>̌ená částka, jsou uspokojeny poměrně. V případě, ž</w:t>
      </w:r>
      <w:r w:rsidRPr="00B36766">
        <w:rPr>
          <w:rStyle w:val="dn"/>
          <w:rFonts w:ascii="Times New Roman" w:hAnsi="Times New Roman"/>
          <w:i/>
          <w:sz w:val="24"/>
          <w:szCs w:val="24"/>
          <w:shd w:val="clear" w:color="auto" w:fill="FFFFFF"/>
          <w:lang w:val="en-US"/>
        </w:rPr>
        <w:t>e pl</w:t>
      </w:r>
      <w:r w:rsidRPr="00B36766">
        <w:rPr>
          <w:rStyle w:val="dn"/>
          <w:rFonts w:ascii="Times New Roman" w:hAnsi="Times New Roman"/>
          <w:i/>
          <w:sz w:val="24"/>
          <w:szCs w:val="24"/>
          <w:shd w:val="clear" w:color="auto" w:fill="FFFFFF"/>
        </w:rPr>
        <w:t>átce mzdy, povinný či oprávněný požádá soud, může tento soud rozhodnout o tom, jaká částka má být povinn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mu ve výplatním období ze mzdy sražena a kolik z ní připadne každ</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vymáhan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pohledávce. Další podmínky jsou upraveny v §4- §</w:t>
      </w:r>
      <w:r w:rsidRPr="00B36766">
        <w:rPr>
          <w:rStyle w:val="dn"/>
          <w:rFonts w:ascii="Times New Roman" w:hAnsi="Times New Roman"/>
          <w:i/>
          <w:sz w:val="24"/>
          <w:szCs w:val="24"/>
          <w:shd w:val="clear" w:color="auto" w:fill="FFFFFF"/>
          <w:lang w:val="nl-NL"/>
        </w:rPr>
        <w:t>7 z</w:t>
      </w:r>
      <w:r w:rsidRPr="00B36766">
        <w:rPr>
          <w:rStyle w:val="dn"/>
          <w:rFonts w:ascii="Times New Roman" w:hAnsi="Times New Roman"/>
          <w:i/>
          <w:sz w:val="24"/>
          <w:szCs w:val="24"/>
          <w:shd w:val="clear" w:color="auto" w:fill="FFFFFF"/>
        </w:rPr>
        <w:t xml:space="preserve">ákona č. 119/2001 Sb. </w:t>
      </w:r>
    </w:p>
    <w:p w:rsidR="009B70FF" w:rsidRPr="00B3676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ab/>
        <w:t>Přikázání pohledávky - zde se opět uspokojují pohledávky podle sv</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 pořadí. Je to v případě, kdy exekuce souběžně postihuje pohledávku povinn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 z účtu banky, pobočky zahraniční banky nebo spořitelní</w:t>
      </w:r>
      <w:r w:rsidRPr="00B36766">
        <w:rPr>
          <w:rStyle w:val="dn"/>
          <w:rFonts w:ascii="Times New Roman" w:hAnsi="Times New Roman"/>
          <w:i/>
          <w:sz w:val="24"/>
          <w:szCs w:val="24"/>
          <w:shd w:val="clear" w:color="auto" w:fill="FFFFFF"/>
          <w:lang w:val="es-ES_tradnl"/>
        </w:rPr>
        <w:t xml:space="preserve">ho a </w:t>
      </w:r>
      <w:r w:rsidRPr="00B36766">
        <w:rPr>
          <w:rStyle w:val="dn"/>
          <w:rFonts w:ascii="Times New Roman" w:hAnsi="Times New Roman"/>
          <w:i/>
          <w:sz w:val="24"/>
          <w:szCs w:val="24"/>
          <w:shd w:val="clear" w:color="auto" w:fill="FFFFFF"/>
        </w:rPr>
        <w:t>úvěrního družstva. Zde se pořadí řídí dnem, kdy usnesení soudu o nařízení výkonu rozhodnutí přikázáním pohledávky z účtu u peněžního ústavu, exekuční příkaz soudního exekutora, exekuční příkaz správce daně nebo příkaz příslušn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 orgánu veřejn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lang w:val="de-DE"/>
        </w:rPr>
        <w:t>spr</w:t>
      </w:r>
      <w:r w:rsidRPr="00B36766">
        <w:rPr>
          <w:rStyle w:val="dn"/>
          <w:rFonts w:ascii="Times New Roman" w:hAnsi="Times New Roman"/>
          <w:i/>
          <w:sz w:val="24"/>
          <w:szCs w:val="24"/>
          <w:shd w:val="clear" w:color="auto" w:fill="FFFFFF"/>
        </w:rPr>
        <w:t>ávy byly doruč</w:t>
      </w:r>
      <w:r w:rsidRPr="00B36766">
        <w:rPr>
          <w:rStyle w:val="dn"/>
          <w:rFonts w:ascii="Times New Roman" w:hAnsi="Times New Roman"/>
          <w:i/>
          <w:sz w:val="24"/>
          <w:szCs w:val="24"/>
          <w:shd w:val="clear" w:color="auto" w:fill="FFFFFF"/>
          <w:lang w:val="it-IT"/>
        </w:rPr>
        <w:t>eny pene</w:t>
      </w:r>
      <w:r w:rsidRPr="00B36766">
        <w:rPr>
          <w:rStyle w:val="dn"/>
          <w:rFonts w:ascii="Times New Roman" w:hAnsi="Times New Roman"/>
          <w:i/>
          <w:sz w:val="24"/>
          <w:szCs w:val="24"/>
          <w:shd w:val="clear" w:color="auto" w:fill="FFFFFF"/>
        </w:rPr>
        <w:t>̌žnímu ústavu. Pokud byla t</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hož dne tomuto ústavu doručena rozhodnutí pro několik pohledávek, mají tyto pohledávky stejn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pořadí. Jestliž</w:t>
      </w:r>
      <w:r w:rsidRPr="00B36766">
        <w:rPr>
          <w:rStyle w:val="dn"/>
          <w:rFonts w:ascii="Times New Roman" w:hAnsi="Times New Roman"/>
          <w:i/>
          <w:sz w:val="24"/>
          <w:szCs w:val="24"/>
          <w:shd w:val="clear" w:color="auto" w:fill="FFFFFF"/>
          <w:lang w:val="en-US"/>
        </w:rPr>
        <w:t>e c</w:t>
      </w:r>
      <w:r w:rsidRPr="00B36766">
        <w:rPr>
          <w:rStyle w:val="dn"/>
          <w:rFonts w:ascii="Times New Roman" w:hAnsi="Times New Roman"/>
          <w:i/>
          <w:sz w:val="24"/>
          <w:szCs w:val="24"/>
          <w:shd w:val="clear" w:color="auto" w:fill="FFFFFF"/>
        </w:rPr>
        <w:t xml:space="preserve">̌ástka připadající k jejich pokrytí </w:t>
      </w:r>
      <w:r w:rsidRPr="00B36766">
        <w:rPr>
          <w:rStyle w:val="dn"/>
          <w:rFonts w:ascii="Times New Roman" w:hAnsi="Times New Roman"/>
          <w:i/>
          <w:sz w:val="24"/>
          <w:szCs w:val="24"/>
          <w:shd w:val="clear" w:color="auto" w:fill="FFFFFF"/>
          <w:lang w:val="de-DE"/>
        </w:rPr>
        <w:t>nen</w:t>
      </w:r>
      <w:r w:rsidRPr="00B36766">
        <w:rPr>
          <w:rStyle w:val="dn"/>
          <w:rFonts w:ascii="Times New Roman" w:hAnsi="Times New Roman"/>
          <w:i/>
          <w:sz w:val="24"/>
          <w:szCs w:val="24"/>
          <w:shd w:val="clear" w:color="auto" w:fill="FFFFFF"/>
        </w:rPr>
        <w:t xml:space="preserve">í </w:t>
      </w:r>
      <w:r w:rsidRPr="00B36766">
        <w:rPr>
          <w:rStyle w:val="dn"/>
          <w:rFonts w:ascii="Times New Roman" w:hAnsi="Times New Roman"/>
          <w:i/>
          <w:sz w:val="24"/>
          <w:szCs w:val="24"/>
          <w:shd w:val="clear" w:color="auto" w:fill="FFFFFF"/>
          <w:lang w:val="it-IT"/>
        </w:rPr>
        <w:t>postac</w:t>
      </w:r>
      <w:r w:rsidRPr="00B36766">
        <w:rPr>
          <w:rStyle w:val="dn"/>
          <w:rFonts w:ascii="Times New Roman" w:hAnsi="Times New Roman"/>
          <w:i/>
          <w:sz w:val="24"/>
          <w:szCs w:val="24"/>
          <w:shd w:val="clear" w:color="auto" w:fill="FFFFFF"/>
        </w:rPr>
        <w:t>̌ující, uhrazují se poměrně.</w:t>
      </w:r>
    </w:p>
    <w:p w:rsidR="009B70FF" w:rsidRPr="00B3676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ab/>
        <w:t xml:space="preserve">Prodej movitých věcí - pokud exekuce postihují souběžně </w:t>
      </w:r>
      <w:r w:rsidRPr="00B36766">
        <w:rPr>
          <w:rStyle w:val="dn"/>
          <w:rFonts w:ascii="Times New Roman" w:hAnsi="Times New Roman"/>
          <w:i/>
          <w:sz w:val="24"/>
          <w:szCs w:val="24"/>
          <w:shd w:val="clear" w:color="auto" w:fill="FFFFFF"/>
          <w:lang w:val="it-IT"/>
        </w:rPr>
        <w:t>tut</w:t>
      </w:r>
      <w:r w:rsidRPr="00B36766">
        <w:rPr>
          <w:rStyle w:val="dn"/>
          <w:rFonts w:ascii="Times New Roman" w:hAnsi="Times New Roman"/>
          <w:i/>
          <w:sz w:val="24"/>
          <w:szCs w:val="24"/>
          <w:shd w:val="clear" w:color="auto" w:fill="FFFFFF"/>
        </w:rPr>
        <w:t>éž movitou věc, provádí se taková exekuce, ve kter</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byla vě</w:t>
      </w:r>
      <w:r w:rsidRPr="00B36766">
        <w:rPr>
          <w:rStyle w:val="dn"/>
          <w:rFonts w:ascii="Times New Roman" w:hAnsi="Times New Roman"/>
          <w:i/>
          <w:sz w:val="24"/>
          <w:szCs w:val="24"/>
          <w:shd w:val="clear" w:color="auto" w:fill="FFFFFF"/>
          <w:lang w:val="fr-FR"/>
        </w:rPr>
        <w:t>c seps</w:t>
      </w:r>
      <w:r w:rsidRPr="00B36766">
        <w:rPr>
          <w:rStyle w:val="dn"/>
          <w:rFonts w:ascii="Times New Roman" w:hAnsi="Times New Roman"/>
          <w:i/>
          <w:sz w:val="24"/>
          <w:szCs w:val="24"/>
          <w:shd w:val="clear" w:color="auto" w:fill="FFFFFF"/>
        </w:rPr>
        <w:t>ána nejdříve. Ostatní řízení exekucí se dnem právní moci jejich nařízení 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 xml:space="preserve">ší. V tomto řízení lze pokračovat pouze v případě, že exekuce, v níž </w:t>
      </w:r>
      <w:r w:rsidRPr="00B36766">
        <w:rPr>
          <w:rStyle w:val="dn"/>
          <w:rFonts w:ascii="Times New Roman" w:hAnsi="Times New Roman"/>
          <w:i/>
          <w:sz w:val="24"/>
          <w:szCs w:val="24"/>
          <w:shd w:val="clear" w:color="auto" w:fill="FFFFFF"/>
          <w:lang w:val="it-IT"/>
        </w:rPr>
        <w:t>tato ve</w:t>
      </w:r>
      <w:r w:rsidRPr="00B36766">
        <w:rPr>
          <w:rStyle w:val="dn"/>
          <w:rFonts w:ascii="Times New Roman" w:hAnsi="Times New Roman"/>
          <w:i/>
          <w:sz w:val="24"/>
          <w:szCs w:val="24"/>
          <w:shd w:val="clear" w:color="auto" w:fill="FFFFFF"/>
        </w:rPr>
        <w:t xml:space="preserve">̌c byla sepsána, nebyla do skončení prodána ani jinak použita k uspokojení </w:t>
      </w:r>
      <w:r w:rsidRPr="00B36766">
        <w:rPr>
          <w:rStyle w:val="dn"/>
          <w:rFonts w:ascii="Times New Roman" w:hAnsi="Times New Roman"/>
          <w:i/>
          <w:sz w:val="24"/>
          <w:szCs w:val="24"/>
          <w:shd w:val="clear" w:color="auto" w:fill="FFFFFF"/>
          <w:lang w:val="it-IT"/>
        </w:rPr>
        <w:t>opr</w:t>
      </w:r>
      <w:r w:rsidRPr="00B36766">
        <w:rPr>
          <w:rStyle w:val="dn"/>
          <w:rFonts w:ascii="Times New Roman" w:hAnsi="Times New Roman"/>
          <w:i/>
          <w:sz w:val="24"/>
          <w:szCs w:val="24"/>
          <w:shd w:val="clear" w:color="auto" w:fill="FFFFFF"/>
        </w:rPr>
        <w:t>ávněn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 nebo pokud před jejím pravomocným skončením byla z exekuce vyloučena a pokud pohledávka dosud nezanikla. Zpř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šených exekucí se pokračuje pouze vt</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 vníž byla sepsána vě</w:t>
      </w:r>
      <w:r w:rsidRPr="00B36766">
        <w:rPr>
          <w:rStyle w:val="dn"/>
          <w:rFonts w:ascii="Times New Roman" w:hAnsi="Times New Roman"/>
          <w:i/>
          <w:sz w:val="24"/>
          <w:szCs w:val="24"/>
          <w:shd w:val="clear" w:color="auto" w:fill="FFFFFF"/>
          <w:lang w:val="fr-FR"/>
        </w:rPr>
        <w:t>c dr</w:t>
      </w:r>
      <w:r w:rsidRPr="00B36766">
        <w:rPr>
          <w:rStyle w:val="dn"/>
          <w:rFonts w:ascii="Times New Roman" w:hAnsi="Times New Roman"/>
          <w:i/>
          <w:sz w:val="24"/>
          <w:szCs w:val="24"/>
          <w:shd w:val="clear" w:color="auto" w:fill="FFFFFF"/>
        </w:rPr>
        <w:t>̌í</w:t>
      </w:r>
      <w:r w:rsidRPr="00B36766">
        <w:rPr>
          <w:rStyle w:val="dn"/>
          <w:rFonts w:ascii="Times New Roman" w:hAnsi="Times New Roman"/>
          <w:i/>
          <w:sz w:val="24"/>
          <w:szCs w:val="24"/>
          <w:shd w:val="clear" w:color="auto" w:fill="FFFFFF"/>
          <w:lang w:val="it-IT"/>
        </w:rPr>
        <w:t xml:space="preserve">ve. </w:t>
      </w:r>
    </w:p>
    <w:p w:rsidR="009B70FF" w:rsidRPr="00B3676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ab/>
        <w:t xml:space="preserve">Prodej a správa nemovitosti - prodej i správa nemovitosti je obdobně upravena v § </w:t>
      </w:r>
      <w:r w:rsidRPr="00B36766">
        <w:rPr>
          <w:rStyle w:val="dn"/>
          <w:rFonts w:ascii="Times New Roman" w:hAnsi="Times New Roman"/>
          <w:i/>
          <w:sz w:val="24"/>
          <w:szCs w:val="24"/>
          <w:shd w:val="clear" w:color="auto" w:fill="FFFFFF"/>
          <w:lang w:val="de-DE"/>
        </w:rPr>
        <w:t>14 z</w:t>
      </w:r>
      <w:r w:rsidRPr="00B36766">
        <w:rPr>
          <w:rStyle w:val="dn"/>
          <w:rFonts w:ascii="Times New Roman" w:hAnsi="Times New Roman"/>
          <w:i/>
          <w:sz w:val="24"/>
          <w:szCs w:val="24"/>
          <w:shd w:val="clear" w:color="auto" w:fill="FFFFFF"/>
        </w:rPr>
        <w:t>ákona č.119/2001. Pokud v tomto případě postihují souběžně veden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exekuce stejnou nemovitost, provede se taková exekuce, jež byla nařízena nejdříve. Ostatní exekuce se dnem právní moci jejich nařízení 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ší</w:t>
      </w:r>
      <w:r w:rsidRPr="00B36766">
        <w:rPr>
          <w:rStyle w:val="dn"/>
          <w:rFonts w:ascii="Times New Roman" w:hAnsi="Times New Roman"/>
          <w:i/>
          <w:sz w:val="24"/>
          <w:szCs w:val="24"/>
          <w:shd w:val="clear" w:color="auto" w:fill="FFFFFF"/>
          <w:lang w:val="pt-PT"/>
        </w:rPr>
        <w:t>. Por</w:t>
      </w:r>
      <w:r w:rsidRPr="00B36766">
        <w:rPr>
          <w:rStyle w:val="dn"/>
          <w:rFonts w:ascii="Times New Roman" w:hAnsi="Times New Roman"/>
          <w:i/>
          <w:sz w:val="24"/>
          <w:szCs w:val="24"/>
          <w:shd w:val="clear" w:color="auto" w:fill="FFFFFF"/>
        </w:rPr>
        <w:t>̌adí exekuce se řídí dnem, kdy bylo katastrálnímu úřadu doruč</w:t>
      </w:r>
      <w:r w:rsidRPr="00B36766">
        <w:rPr>
          <w:rStyle w:val="dn"/>
          <w:rFonts w:ascii="Times New Roman" w:hAnsi="Times New Roman"/>
          <w:i/>
          <w:sz w:val="24"/>
          <w:szCs w:val="24"/>
          <w:shd w:val="clear" w:color="auto" w:fill="FFFFFF"/>
          <w:lang w:val="it-IT"/>
        </w:rPr>
        <w:t xml:space="preserve">eno: </w:t>
      </w:r>
    </w:p>
    <w:p w:rsidR="009B70FF" w:rsidRPr="00B36766" w:rsidRDefault="009B70FF" w:rsidP="007A2179">
      <w:pPr>
        <w:pStyle w:val="Vchoz"/>
        <w:numPr>
          <w:ilvl w:val="0"/>
          <w:numId w:val="23"/>
        </w:numPr>
        <w:spacing w:after="240" w:line="360" w:lineRule="auto"/>
        <w:rPr>
          <w:rFonts w:ascii="Times New Roman" w:hAnsi="Times New Roman"/>
          <w:i/>
          <w:sz w:val="24"/>
          <w:szCs w:val="24"/>
        </w:rPr>
      </w:pPr>
      <w:r w:rsidRPr="00B36766">
        <w:rPr>
          <w:rStyle w:val="dn"/>
          <w:rFonts w:ascii="Times New Roman" w:hAnsi="Times New Roman"/>
          <w:i/>
          <w:sz w:val="24"/>
          <w:szCs w:val="24"/>
          <w:shd w:val="clear" w:color="auto" w:fill="FFFFFF"/>
        </w:rPr>
        <w:t xml:space="preserve">a)  usnesení, jímž soud nařídil výkon rozhodnutí prodejem nemovitostí, </w:t>
      </w:r>
    </w:p>
    <w:p w:rsidR="009B70FF" w:rsidRPr="00B36766" w:rsidRDefault="009B70FF" w:rsidP="007A2179">
      <w:pPr>
        <w:pStyle w:val="Vchoz"/>
        <w:numPr>
          <w:ilvl w:val="0"/>
          <w:numId w:val="23"/>
        </w:numPr>
        <w:spacing w:after="240" w:line="360" w:lineRule="auto"/>
        <w:rPr>
          <w:rFonts w:ascii="Times New Roman" w:hAnsi="Times New Roman"/>
          <w:i/>
          <w:sz w:val="24"/>
          <w:szCs w:val="24"/>
        </w:rPr>
      </w:pPr>
      <w:r w:rsidRPr="00B36766">
        <w:rPr>
          <w:rStyle w:val="dn"/>
          <w:rFonts w:ascii="Times New Roman" w:hAnsi="Times New Roman"/>
          <w:i/>
          <w:sz w:val="24"/>
          <w:szCs w:val="24"/>
          <w:shd w:val="clear" w:color="auto" w:fill="FFFFFF"/>
        </w:rPr>
        <w:t xml:space="preserve">b)  exekuční příkaz vydaný soudním exekutorem, </w:t>
      </w:r>
    </w:p>
    <w:p w:rsidR="009B70FF" w:rsidRPr="00B36766" w:rsidRDefault="009B70FF" w:rsidP="007A2179">
      <w:pPr>
        <w:pStyle w:val="Vchoz"/>
        <w:numPr>
          <w:ilvl w:val="0"/>
          <w:numId w:val="23"/>
        </w:numPr>
        <w:spacing w:after="240" w:line="360" w:lineRule="auto"/>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 xml:space="preserve">c)  exekuční příkaz vydaný </w:t>
      </w:r>
      <w:r w:rsidRPr="00B36766">
        <w:rPr>
          <w:rStyle w:val="dn"/>
          <w:rFonts w:ascii="Times New Roman" w:hAnsi="Times New Roman"/>
          <w:i/>
          <w:sz w:val="24"/>
          <w:szCs w:val="24"/>
          <w:shd w:val="clear" w:color="auto" w:fill="FFFFFF"/>
          <w:lang w:val="de-DE"/>
        </w:rPr>
        <w:t>spr</w:t>
      </w:r>
      <w:r w:rsidRPr="00B36766">
        <w:rPr>
          <w:rStyle w:val="dn"/>
          <w:rFonts w:ascii="Times New Roman" w:hAnsi="Times New Roman"/>
          <w:i/>
          <w:sz w:val="24"/>
          <w:szCs w:val="24"/>
          <w:shd w:val="clear" w:color="auto" w:fill="FFFFFF"/>
        </w:rPr>
        <w:t>ávcem daně.</w:t>
      </w:r>
    </w:p>
    <w:p w:rsidR="009B70FF" w:rsidRPr="00B36766" w:rsidRDefault="009B70FF" w:rsidP="009B70FF">
      <w:pPr>
        <w:pStyle w:val="Vchoz"/>
        <w:tabs>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ind w:firstLine="709"/>
        <w:jc w:val="both"/>
        <w:rPr>
          <w:rStyle w:val="dn"/>
          <w:rFonts w:ascii="Times New Roman" w:eastAsia="Times New Roman" w:hAnsi="Times New Roman" w:cs="Times New Roman"/>
          <w:i/>
          <w:sz w:val="24"/>
          <w:szCs w:val="24"/>
          <w:shd w:val="clear" w:color="auto" w:fill="FFFFFF"/>
        </w:rPr>
      </w:pPr>
      <w:r w:rsidRPr="00B36766">
        <w:rPr>
          <w:rStyle w:val="dn"/>
          <w:rFonts w:ascii="Times New Roman" w:hAnsi="Times New Roman"/>
          <w:i/>
          <w:sz w:val="24"/>
          <w:szCs w:val="24"/>
          <w:shd w:val="clear" w:color="auto" w:fill="FFFFFF"/>
        </w:rPr>
        <w:t>Vpř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šen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exekuci lze pokračovat, pouze pokud vdřívějších exekucích nebyly do jejího skončení nemovitosti prodány a pokud pohledávka nezanikla. Z 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šených exekucí se pokračuje v t</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 xml:space="preserve">, jež byla nařízena dříve. Pokud se jedná o jednu a tu samou nemovitost, na níž bylo v tentýž den nařízeno více exekucí, obecný soud rozhodne o tom, která z exekucí se povede </w:t>
      </w:r>
      <w:r w:rsidRPr="00B36766">
        <w:rPr>
          <w:rStyle w:val="dn"/>
          <w:rFonts w:ascii="Times New Roman" w:hAnsi="Times New Roman"/>
          <w:i/>
          <w:position w:val="16"/>
          <w:sz w:val="24"/>
          <w:szCs w:val="24"/>
          <w:shd w:val="clear" w:color="auto" w:fill="FFFFFF"/>
        </w:rPr>
        <w:t xml:space="preserve"> </w:t>
      </w:r>
    </w:p>
    <w:p w:rsidR="009B70FF" w:rsidRPr="00B36766"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hAnsi="Times New Roman"/>
          <w:i/>
          <w:sz w:val="24"/>
          <w:szCs w:val="24"/>
          <w:shd w:val="clear" w:color="auto" w:fill="FFFFFF"/>
        </w:rPr>
      </w:pPr>
      <w:r w:rsidRPr="00B36766">
        <w:rPr>
          <w:rStyle w:val="dn"/>
          <w:rFonts w:ascii="Times New Roman" w:hAnsi="Times New Roman"/>
          <w:i/>
          <w:sz w:val="24"/>
          <w:szCs w:val="24"/>
          <w:shd w:val="clear" w:color="auto" w:fill="FFFFFF"/>
        </w:rPr>
        <w:tab/>
        <w:t>Prodej podniku - v tomto případě se již nařízen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exekuce př</w:t>
      </w:r>
      <w:r w:rsidRPr="00B36766">
        <w:rPr>
          <w:rStyle w:val="dn"/>
          <w:rFonts w:ascii="Times New Roman" w:hAnsi="Times New Roman"/>
          <w:i/>
          <w:sz w:val="24"/>
          <w:szCs w:val="24"/>
          <w:shd w:val="clear" w:color="auto" w:fill="FFFFFF"/>
          <w:lang w:val="de-DE"/>
        </w:rPr>
        <w:t>eru</w:t>
      </w:r>
      <w:r w:rsidRPr="00B36766">
        <w:rPr>
          <w:rStyle w:val="dn"/>
          <w:rFonts w:ascii="Times New Roman" w:hAnsi="Times New Roman"/>
          <w:i/>
          <w:sz w:val="24"/>
          <w:szCs w:val="24"/>
          <w:shd w:val="clear" w:color="auto" w:fill="FFFFFF"/>
        </w:rPr>
        <w:t>ší ode dne, kdy příslušn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mu soudu č</w:t>
      </w:r>
      <w:r w:rsidRPr="00B36766">
        <w:rPr>
          <w:rStyle w:val="dn"/>
          <w:rFonts w:ascii="Times New Roman" w:hAnsi="Times New Roman"/>
          <w:i/>
          <w:sz w:val="24"/>
          <w:szCs w:val="24"/>
          <w:shd w:val="clear" w:color="auto" w:fill="FFFFFF"/>
          <w:lang w:val="it-IT"/>
        </w:rPr>
        <w:t>i org</w:t>
      </w:r>
      <w:r w:rsidRPr="00B36766">
        <w:rPr>
          <w:rStyle w:val="dn"/>
          <w:rFonts w:ascii="Times New Roman" w:hAnsi="Times New Roman"/>
          <w:i/>
          <w:sz w:val="24"/>
          <w:szCs w:val="24"/>
          <w:shd w:val="clear" w:color="auto" w:fill="FFFFFF"/>
        </w:rPr>
        <w:t xml:space="preserve">ánu, který vede jiný </w:t>
      </w:r>
      <w:r w:rsidRPr="00B36766">
        <w:rPr>
          <w:rStyle w:val="dn"/>
          <w:rFonts w:ascii="Times New Roman" w:hAnsi="Times New Roman"/>
          <w:i/>
          <w:sz w:val="24"/>
          <w:szCs w:val="24"/>
          <w:shd w:val="clear" w:color="auto" w:fill="FFFFFF"/>
          <w:lang w:val="da-DK"/>
        </w:rPr>
        <w:t>rejstr</w:t>
      </w:r>
      <w:r w:rsidRPr="00B36766">
        <w:rPr>
          <w:rStyle w:val="dn"/>
          <w:rFonts w:ascii="Times New Roman" w:hAnsi="Times New Roman"/>
          <w:i/>
          <w:sz w:val="24"/>
          <w:szCs w:val="24"/>
          <w:shd w:val="clear" w:color="auto" w:fill="FFFFFF"/>
        </w:rPr>
        <w:t>̌ík, v němž je zapsán povinný, bylo doručeno usnesení o prodeji podniku, nebo exekuční příkaz vydaný soudním exekutorem či správcem daně. Jsou to exekuce postihující věci, práva a majetkov</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hodnoty, jež patří k podniku. Oprávnění mají právo na uspokojení, z rozdělovan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podstaty, aniž by museli vymáhanou pohledávku přihlásit. Toto platí i v případě, že vymáhaná pohledávka nepatří k podniku. Exekuce, která postihla věci, práva a jin</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majetkov</w:t>
      </w:r>
      <w:r w:rsidRPr="00B36766">
        <w:rPr>
          <w:rStyle w:val="dn"/>
          <w:rFonts w:ascii="Times New Roman" w:hAnsi="Times New Roman"/>
          <w:i/>
          <w:sz w:val="24"/>
          <w:szCs w:val="24"/>
          <w:shd w:val="clear" w:color="auto" w:fill="FFFFFF"/>
          <w:lang w:val="fr-FR"/>
        </w:rPr>
        <w:t xml:space="preserve">é </w:t>
      </w:r>
      <w:r w:rsidRPr="00B36766">
        <w:rPr>
          <w:rStyle w:val="dn"/>
          <w:rFonts w:ascii="Times New Roman" w:hAnsi="Times New Roman"/>
          <w:i/>
          <w:sz w:val="24"/>
          <w:szCs w:val="24"/>
          <w:shd w:val="clear" w:color="auto" w:fill="FFFFFF"/>
        </w:rPr>
        <w:t>hodnoty patřící k podniku nařízená po dni, kdy příslušn</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mu soudu, č</w:t>
      </w:r>
      <w:r w:rsidRPr="00B36766">
        <w:rPr>
          <w:rStyle w:val="dn"/>
          <w:rFonts w:ascii="Times New Roman" w:hAnsi="Times New Roman"/>
          <w:i/>
          <w:sz w:val="24"/>
          <w:szCs w:val="24"/>
          <w:shd w:val="clear" w:color="auto" w:fill="FFFFFF"/>
          <w:lang w:val="it-IT"/>
        </w:rPr>
        <w:t>i org</w:t>
      </w:r>
      <w:r w:rsidRPr="00B36766">
        <w:rPr>
          <w:rStyle w:val="dn"/>
          <w:rFonts w:ascii="Times New Roman" w:hAnsi="Times New Roman"/>
          <w:i/>
          <w:sz w:val="24"/>
          <w:szCs w:val="24"/>
          <w:shd w:val="clear" w:color="auto" w:fill="FFFFFF"/>
        </w:rPr>
        <w:t xml:space="preserve">ánu, jenž vede jiný </w:t>
      </w:r>
      <w:r w:rsidRPr="00B36766">
        <w:rPr>
          <w:rStyle w:val="dn"/>
          <w:rFonts w:ascii="Times New Roman" w:hAnsi="Times New Roman"/>
          <w:i/>
          <w:sz w:val="24"/>
          <w:szCs w:val="24"/>
          <w:shd w:val="clear" w:color="auto" w:fill="FFFFFF"/>
          <w:lang w:val="da-DK"/>
        </w:rPr>
        <w:t>rejstr</w:t>
      </w:r>
      <w:r w:rsidRPr="00B36766">
        <w:rPr>
          <w:rStyle w:val="dn"/>
          <w:rFonts w:ascii="Times New Roman" w:hAnsi="Times New Roman"/>
          <w:i/>
          <w:sz w:val="24"/>
          <w:szCs w:val="24"/>
          <w:shd w:val="clear" w:color="auto" w:fill="FFFFFF"/>
        </w:rPr>
        <w:t>̌ík, v němž je zapsán povinný bylo doručeno usnesení o prodeji podniku, exekuční příkaz vydaný buď rovcem daně nebo exekutorem, nelze prov</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st až do skončení řízení. Pokud bylo ohledně t</w:t>
      </w:r>
      <w:r w:rsidRPr="00B36766">
        <w:rPr>
          <w:rStyle w:val="dn"/>
          <w:rFonts w:ascii="Times New Roman" w:hAnsi="Times New Roman"/>
          <w:i/>
          <w:sz w:val="24"/>
          <w:szCs w:val="24"/>
          <w:shd w:val="clear" w:color="auto" w:fill="FFFFFF"/>
          <w:lang w:val="fr-FR"/>
        </w:rPr>
        <w:t>é</w:t>
      </w:r>
      <w:r w:rsidRPr="00B36766">
        <w:rPr>
          <w:rStyle w:val="dn"/>
          <w:rFonts w:ascii="Times New Roman" w:hAnsi="Times New Roman"/>
          <w:i/>
          <w:sz w:val="24"/>
          <w:szCs w:val="24"/>
          <w:shd w:val="clear" w:color="auto" w:fill="FFFFFF"/>
        </w:rPr>
        <w:t>hož podniku nařízeno více exekucí v ten samý den, rozhodne obecný soud, která z těchto exekucí se provede.</w:t>
      </w:r>
      <w:r w:rsidR="00B36766">
        <w:rPr>
          <w:rStyle w:val="dn"/>
          <w:rFonts w:ascii="Times New Roman" w:hAnsi="Times New Roman"/>
          <w:i/>
          <w:sz w:val="24"/>
          <w:szCs w:val="24"/>
          <w:shd w:val="clear" w:color="auto" w:fill="FFFFFF"/>
        </w:rPr>
        <w:t>“</w:t>
      </w:r>
      <w:r w:rsidR="00B36766">
        <w:rPr>
          <w:rStyle w:val="Znakapoznpodarou"/>
          <w:rFonts w:ascii="Times New Roman" w:hAnsi="Times New Roman"/>
          <w:i/>
          <w:sz w:val="24"/>
          <w:szCs w:val="24"/>
          <w:shd w:val="clear" w:color="auto" w:fill="FFFFFF"/>
        </w:rPr>
        <w:footnoteReference w:id="138"/>
      </w:r>
    </w:p>
    <w:p w:rsidR="009B70FF" w:rsidRDefault="009B70FF" w:rsidP="009B70FF">
      <w:pPr>
        <w:spacing w:line="240" w:lineRule="auto"/>
        <w:rPr>
          <w:rStyle w:val="dn"/>
          <w:rFonts w:eastAsia="Arial Unicode MS" w:cs="Arial Unicode MS"/>
          <w:szCs w:val="24"/>
          <w:shd w:val="clear" w:color="auto" w:fill="FFFFFF"/>
        </w:rPr>
      </w:pPr>
      <w:r>
        <w:rPr>
          <w:rStyle w:val="dn"/>
          <w:szCs w:val="24"/>
          <w:shd w:val="clear" w:color="auto" w:fill="FFFFFF"/>
        </w:rPr>
        <w:br w:type="page"/>
      </w:r>
    </w:p>
    <w:p w:rsidR="009B70FF" w:rsidRDefault="00E42459" w:rsidP="00E42459">
      <w:pPr>
        <w:pStyle w:val="Nadpis1"/>
        <w:ind w:firstLine="0"/>
        <w:rPr>
          <w:rFonts w:eastAsia="Times New Roman" w:cs="Times New Roman"/>
        </w:rPr>
      </w:pPr>
      <w:bookmarkStart w:id="112" w:name="_Toc37"/>
      <w:bookmarkStart w:id="113" w:name="_Toc18276752"/>
      <w:bookmarkStart w:id="114" w:name="_Toc18313972"/>
      <w:r>
        <w:rPr>
          <w:rStyle w:val="dn"/>
          <w:color w:val="000000"/>
          <w:u w:color="000000"/>
        </w:rPr>
        <w:t>6</w:t>
      </w:r>
      <w:r>
        <w:rPr>
          <w:rStyle w:val="dn"/>
          <w:color w:val="000000"/>
          <w:u w:color="000000"/>
        </w:rPr>
        <w:tab/>
      </w:r>
      <w:r w:rsidR="009B70FF">
        <w:rPr>
          <w:rStyle w:val="dn"/>
          <w:color w:val="000000"/>
          <w:u w:color="000000"/>
        </w:rPr>
        <w:t>Porovnání exekuce správní a soudní</w:t>
      </w:r>
      <w:bookmarkEnd w:id="112"/>
      <w:bookmarkEnd w:id="113"/>
      <w:bookmarkEnd w:id="114"/>
    </w:p>
    <w:p w:rsidR="00990022" w:rsidRPr="00C02AF2" w:rsidRDefault="00990022" w:rsidP="00990022">
      <w:pPr>
        <w:rPr>
          <w:rFonts w:cs="Times New Roman"/>
        </w:rPr>
      </w:pPr>
      <w:bookmarkStart w:id="115" w:name="_Toc38"/>
    </w:p>
    <w:p w:rsidR="00990022" w:rsidRDefault="00990022" w:rsidP="00990022">
      <w:pPr>
        <w:rPr>
          <w:rStyle w:val="dn"/>
          <w:rFonts w:cs="Times New Roman"/>
          <w:szCs w:val="24"/>
        </w:rPr>
      </w:pPr>
      <w:r w:rsidRPr="00C02AF2">
        <w:rPr>
          <w:rStyle w:val="dn"/>
          <w:rFonts w:cs="Times New Roman"/>
          <w:szCs w:val="24"/>
        </w:rPr>
        <w:t>Vyvrcholením t</w:t>
      </w:r>
      <w:r w:rsidRPr="00C02AF2">
        <w:rPr>
          <w:rStyle w:val="dn"/>
          <w:rFonts w:cs="Times New Roman"/>
          <w:szCs w:val="24"/>
          <w:lang w:val="fr-FR"/>
        </w:rPr>
        <w:t>é</w:t>
      </w:r>
      <w:r w:rsidRPr="00C02AF2">
        <w:rPr>
          <w:rStyle w:val="dn"/>
          <w:rFonts w:cs="Times New Roman"/>
          <w:szCs w:val="24"/>
          <w:lang w:val="it-IT"/>
        </w:rPr>
        <w:t>to pr</w:t>
      </w:r>
      <w:r w:rsidRPr="00C02AF2">
        <w:rPr>
          <w:rStyle w:val="dn"/>
          <w:rFonts w:cs="Times New Roman"/>
          <w:szCs w:val="24"/>
        </w:rPr>
        <w:t>áce jak z názvu vyplývá je p</w:t>
      </w:r>
      <w:r>
        <w:rPr>
          <w:rStyle w:val="dn"/>
          <w:rFonts w:cs="Times New Roman"/>
          <w:szCs w:val="24"/>
        </w:rPr>
        <w:t xml:space="preserve">orovnání těchto dvou exekucí. </w:t>
      </w:r>
      <w:r w:rsidRPr="00C02AF2">
        <w:rPr>
          <w:rStyle w:val="dn"/>
          <w:rFonts w:cs="Times New Roman"/>
          <w:szCs w:val="24"/>
        </w:rPr>
        <w:t xml:space="preserve">Nejdůležitějším a také základním shodným znakem obou druhů exekucí je jejich účel. Tímto je vymožení pohledávky a uspokojení práv oprávněného.  </w:t>
      </w:r>
    </w:p>
    <w:p w:rsidR="00990022" w:rsidRPr="00990022" w:rsidRDefault="00990022" w:rsidP="00990022">
      <w:pPr>
        <w:rPr>
          <w:rStyle w:val="dn"/>
          <w:rFonts w:cs="Times New Roman"/>
          <w:sz w:val="23"/>
          <w:szCs w:val="23"/>
        </w:rPr>
      </w:pPr>
      <w:r w:rsidRPr="00C02AF2">
        <w:rPr>
          <w:rStyle w:val="dn"/>
          <w:rFonts w:cs="Times New Roman"/>
          <w:szCs w:val="24"/>
        </w:rPr>
        <w:t xml:space="preserve">Jestliže se bavíme o rozdílech v rámci exekuce soudní, tak hned první můžeme shledat přímo v jednotlivých názvech exekučního řízení. Zatímco v exekuci nařízené a prováděné soudem se samotnému řízení nazývá výkon rozhodnutí, exekuci prováděné soudním exekutorem zůstal původní název a to exekuce. </w:t>
      </w:r>
    </w:p>
    <w:p w:rsidR="00990022" w:rsidRPr="00C02AF2" w:rsidRDefault="00990022" w:rsidP="00990022">
      <w:pPr>
        <w:rPr>
          <w:rStyle w:val="dn"/>
          <w:rFonts w:cs="Times New Roman"/>
          <w:szCs w:val="24"/>
        </w:rPr>
      </w:pPr>
      <w:r w:rsidRPr="00C02AF2">
        <w:rPr>
          <w:rStyle w:val="dn"/>
          <w:rFonts w:cs="Times New Roman"/>
          <w:szCs w:val="24"/>
        </w:rPr>
        <w:t>Pokud se podíváme na právní úpravu exekučního řízení, je zřejm</w:t>
      </w:r>
      <w:r w:rsidRPr="00C02AF2">
        <w:rPr>
          <w:rStyle w:val="dn"/>
          <w:rFonts w:cs="Times New Roman"/>
          <w:szCs w:val="24"/>
          <w:lang w:val="fr-FR"/>
        </w:rPr>
        <w:t>é</w:t>
      </w:r>
      <w:r w:rsidRPr="00C02AF2">
        <w:rPr>
          <w:rStyle w:val="dn"/>
          <w:rFonts w:cs="Times New Roman"/>
          <w:szCs w:val="24"/>
        </w:rPr>
        <w:t>, že každá exekuce má právní zakotvení ve sv</w:t>
      </w:r>
      <w:r w:rsidRPr="00C02AF2">
        <w:rPr>
          <w:rStyle w:val="dn"/>
          <w:rFonts w:cs="Times New Roman"/>
          <w:szCs w:val="24"/>
          <w:lang w:val="fr-FR"/>
        </w:rPr>
        <w:t>é</w:t>
      </w:r>
      <w:r w:rsidRPr="00C02AF2">
        <w:rPr>
          <w:rStyle w:val="dn"/>
          <w:rFonts w:cs="Times New Roman"/>
          <w:szCs w:val="24"/>
        </w:rPr>
        <w:t>m vlastní</w:t>
      </w:r>
      <w:r w:rsidRPr="00C02AF2">
        <w:rPr>
          <w:rStyle w:val="dn"/>
          <w:rFonts w:cs="Times New Roman"/>
          <w:szCs w:val="24"/>
          <w:lang w:val="pt-PT"/>
        </w:rPr>
        <w:t>m pr</w:t>
      </w:r>
      <w:r w:rsidRPr="00C02AF2">
        <w:rPr>
          <w:rStyle w:val="dn"/>
          <w:rFonts w:cs="Times New Roman"/>
          <w:szCs w:val="24"/>
        </w:rPr>
        <w:t>ávní</w:t>
      </w:r>
      <w:r w:rsidRPr="00C02AF2">
        <w:rPr>
          <w:rStyle w:val="dn"/>
          <w:rFonts w:cs="Times New Roman"/>
          <w:szCs w:val="24"/>
          <w:lang w:val="pt-PT"/>
        </w:rPr>
        <w:t>m p</w:t>
      </w:r>
      <w:r w:rsidRPr="00C02AF2">
        <w:rPr>
          <w:rStyle w:val="dn"/>
          <w:rFonts w:cs="Times New Roman"/>
          <w:szCs w:val="24"/>
        </w:rPr>
        <w:t xml:space="preserve">ředpise. Z výše uvedeného tedy exekuce soudní, jež se dělí na exekuci nařízenou a vykonanou soudem, kterou upravuje zákon č. </w:t>
      </w:r>
      <w:r w:rsidRPr="00C02AF2">
        <w:rPr>
          <w:rFonts w:cs="Times New Roman"/>
          <w:szCs w:val="24"/>
        </w:rPr>
        <w:t>99/1963 Sb., obč</w:t>
      </w:r>
      <w:r w:rsidRPr="00C02AF2">
        <w:rPr>
          <w:rFonts w:cs="Times New Roman"/>
          <w:szCs w:val="24"/>
          <w:lang w:val="da-DK"/>
        </w:rPr>
        <w:t>ansk</w:t>
      </w:r>
      <w:r w:rsidRPr="00C02AF2">
        <w:rPr>
          <w:rFonts w:cs="Times New Roman"/>
          <w:szCs w:val="24"/>
        </w:rPr>
        <w:t xml:space="preserve">ý soudní řád, ve znění pozdějších předpisů. Exekuci nařízenou soudem a vykonanou soudním exekutorem upravuje </w:t>
      </w:r>
      <w:r w:rsidRPr="00C02AF2">
        <w:rPr>
          <w:rStyle w:val="dn"/>
          <w:rFonts w:cs="Times New Roman"/>
          <w:szCs w:val="24"/>
        </w:rPr>
        <w:t xml:space="preserve">Zákon č. 120/2001 Sb., o soudních exekutorech a exekuční činnosti (exekuční řád). Exekuci správních rozhodnutí na nepeněžité plnění upravuje zákon </w:t>
      </w:r>
      <w:r w:rsidRPr="00C02AF2">
        <w:rPr>
          <w:rFonts w:cs="Times New Roman"/>
          <w:szCs w:val="24"/>
        </w:rPr>
        <w:t>č. 500/2004 Sb., Správní řád a na plnění peněžitá, jakožto exekuci d</w:t>
      </w:r>
      <w:r w:rsidRPr="00C02AF2">
        <w:rPr>
          <w:rStyle w:val="dn"/>
          <w:rFonts w:cs="Times New Roman"/>
          <w:szCs w:val="24"/>
        </w:rPr>
        <w:t>aňovou zákon č. č. 280/2009 Sb., daňov</w:t>
      </w:r>
      <w:r w:rsidRPr="00C02AF2">
        <w:rPr>
          <w:rStyle w:val="dn"/>
          <w:rFonts w:cs="Times New Roman"/>
          <w:szCs w:val="24"/>
          <w:lang w:val="fr-FR"/>
        </w:rPr>
        <w:t>é</w:t>
      </w:r>
      <w:r w:rsidRPr="00C02AF2">
        <w:rPr>
          <w:rStyle w:val="dn"/>
          <w:rFonts w:cs="Times New Roman"/>
          <w:szCs w:val="24"/>
        </w:rPr>
        <w:t>m řádu.</w:t>
      </w:r>
      <w:r w:rsidRPr="00C02AF2">
        <w:rPr>
          <w:rStyle w:val="dn"/>
          <w:rFonts w:cs="Times New Roman"/>
          <w:szCs w:val="24"/>
          <w:lang w:val="en-US"/>
        </w:rPr>
        <w:t xml:space="preserve"> I p</w:t>
      </w:r>
      <w:r w:rsidRPr="00C02AF2">
        <w:rPr>
          <w:rStyle w:val="dn"/>
          <w:rFonts w:cs="Times New Roman"/>
          <w:szCs w:val="24"/>
        </w:rPr>
        <w:t>řes tento fak</w:t>
      </w:r>
      <w:r w:rsidR="006B3FB3">
        <w:rPr>
          <w:rStyle w:val="dn"/>
          <w:rFonts w:cs="Times New Roman"/>
          <w:szCs w:val="24"/>
        </w:rPr>
        <w:t>t,</w:t>
      </w:r>
      <w:r w:rsidRPr="00C02AF2">
        <w:rPr>
          <w:rStyle w:val="dn"/>
          <w:rFonts w:cs="Times New Roman"/>
          <w:szCs w:val="24"/>
        </w:rPr>
        <w:t xml:space="preserve"> mají všechny exekuce naprosto shodný základ. Tímto základem je předevší</w:t>
      </w:r>
      <w:r w:rsidRPr="00C02AF2">
        <w:rPr>
          <w:rStyle w:val="dn"/>
          <w:rFonts w:cs="Times New Roman"/>
          <w:szCs w:val="24"/>
          <w:lang w:val="pt-PT"/>
        </w:rPr>
        <w:t>m pr</w:t>
      </w:r>
      <w:r w:rsidRPr="00C02AF2">
        <w:rPr>
          <w:rStyle w:val="dn"/>
          <w:rFonts w:cs="Times New Roman"/>
          <w:szCs w:val="24"/>
        </w:rPr>
        <w:t>ávní úprava exekučního řízení zakotvená v obč</w:t>
      </w:r>
      <w:r w:rsidRPr="00C02AF2">
        <w:rPr>
          <w:rStyle w:val="dn"/>
          <w:rFonts w:cs="Times New Roman"/>
          <w:szCs w:val="24"/>
          <w:lang w:val="da-DK"/>
        </w:rPr>
        <w:t>ansk</w:t>
      </w:r>
      <w:r w:rsidRPr="00C02AF2">
        <w:rPr>
          <w:rStyle w:val="dn"/>
          <w:rFonts w:cs="Times New Roman"/>
          <w:szCs w:val="24"/>
          <w:lang w:val="fr-FR"/>
        </w:rPr>
        <w:t>é</w:t>
      </w:r>
      <w:r w:rsidRPr="00C02AF2">
        <w:rPr>
          <w:rStyle w:val="dn"/>
          <w:rFonts w:cs="Times New Roman"/>
          <w:szCs w:val="24"/>
        </w:rPr>
        <w:t>m soudním řádě.</w:t>
      </w:r>
    </w:p>
    <w:p w:rsidR="002725B5" w:rsidRDefault="006B3FB3" w:rsidP="00990022">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hAnsi="Times New Roman" w:cs="Times New Roman"/>
          <w:i/>
          <w:sz w:val="24"/>
          <w:szCs w:val="24"/>
        </w:rPr>
      </w:pPr>
      <w:r>
        <w:rPr>
          <w:rFonts w:ascii="Times New Roman" w:hAnsi="Times New Roman" w:cs="Times New Roman"/>
          <w:i/>
          <w:sz w:val="24"/>
          <w:szCs w:val="24"/>
        </w:rPr>
        <w:t>„</w:t>
      </w:r>
      <w:r w:rsidR="00990022" w:rsidRPr="006B3FB3">
        <w:rPr>
          <w:rFonts w:ascii="Times New Roman" w:hAnsi="Times New Roman" w:cs="Times New Roman"/>
          <w:i/>
          <w:sz w:val="24"/>
          <w:szCs w:val="24"/>
        </w:rPr>
        <w:t>Co se týče společných znaků, tak pro všechny exekuce platí existence procesních podmínek. Bez těchto nezbytných procesních podmínek by totiž nemohla být exekuce provedena, ale ani naří</w:t>
      </w:r>
      <w:r w:rsidR="00990022" w:rsidRPr="006B3FB3">
        <w:rPr>
          <w:rFonts w:ascii="Times New Roman" w:hAnsi="Times New Roman" w:cs="Times New Roman"/>
          <w:i/>
          <w:sz w:val="24"/>
          <w:szCs w:val="24"/>
          <w:lang w:val="pt-PT"/>
        </w:rPr>
        <w:t>zena. Te</w:t>
      </w:r>
      <w:r w:rsidR="00990022" w:rsidRPr="006B3FB3">
        <w:rPr>
          <w:rFonts w:ascii="Times New Roman" w:hAnsi="Times New Roman" w:cs="Times New Roman"/>
          <w:i/>
          <w:sz w:val="24"/>
          <w:szCs w:val="24"/>
        </w:rPr>
        <w:t>̌mito podmínkami jsou pro všechny exekuce účastníci exekučního řízení. V každ</w:t>
      </w:r>
      <w:r w:rsidR="00990022" w:rsidRPr="006B3FB3">
        <w:rPr>
          <w:rFonts w:ascii="Times New Roman" w:hAnsi="Times New Roman" w:cs="Times New Roman"/>
          <w:i/>
          <w:sz w:val="24"/>
          <w:szCs w:val="24"/>
          <w:lang w:val="fr-FR"/>
        </w:rPr>
        <w:t>é</w:t>
      </w:r>
      <w:r w:rsidR="00990022" w:rsidRPr="006B3FB3">
        <w:rPr>
          <w:rFonts w:ascii="Times New Roman" w:hAnsi="Times New Roman" w:cs="Times New Roman"/>
          <w:i/>
          <w:sz w:val="24"/>
          <w:szCs w:val="24"/>
        </w:rPr>
        <w:t xml:space="preserve">m řízení je vždy minimálně jeden povinný a oprávněný. </w:t>
      </w:r>
    </w:p>
    <w:p w:rsidR="00990022" w:rsidRPr="006B3FB3" w:rsidRDefault="00990022" w:rsidP="00990022">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Fonts w:ascii="Times New Roman" w:hAnsi="Times New Roman" w:cs="Times New Roman"/>
          <w:i/>
          <w:sz w:val="24"/>
          <w:szCs w:val="24"/>
        </w:rPr>
      </w:pPr>
      <w:r w:rsidRPr="006B3FB3">
        <w:rPr>
          <w:rFonts w:ascii="Times New Roman" w:hAnsi="Times New Roman" w:cs="Times New Roman"/>
          <w:i/>
          <w:sz w:val="24"/>
          <w:szCs w:val="24"/>
        </w:rPr>
        <w:t>Ve všech zmíněných druzích exekuce je nutná existence exekučního titulu. Ten se druh od druhu liší. Předevší</w:t>
      </w:r>
      <w:r w:rsidRPr="006B3FB3">
        <w:rPr>
          <w:rFonts w:ascii="Times New Roman" w:hAnsi="Times New Roman" w:cs="Times New Roman"/>
          <w:i/>
          <w:sz w:val="24"/>
          <w:szCs w:val="24"/>
          <w:lang w:val="pt-PT"/>
        </w:rPr>
        <w:t>m pr</w:t>
      </w:r>
      <w:r w:rsidRPr="006B3FB3">
        <w:rPr>
          <w:rFonts w:ascii="Times New Roman" w:hAnsi="Times New Roman" w:cs="Times New Roman"/>
          <w:i/>
          <w:sz w:val="24"/>
          <w:szCs w:val="24"/>
        </w:rPr>
        <w:t>ávní zakotvení exekučních titulů je podle druhů exekucí odlišn</w:t>
      </w:r>
      <w:r w:rsidRPr="006B3FB3">
        <w:rPr>
          <w:rFonts w:ascii="Times New Roman" w:hAnsi="Times New Roman" w:cs="Times New Roman"/>
          <w:i/>
          <w:sz w:val="24"/>
          <w:szCs w:val="24"/>
          <w:lang w:val="fr-FR"/>
        </w:rPr>
        <w:t>é</w:t>
      </w:r>
      <w:r w:rsidRPr="006B3FB3">
        <w:rPr>
          <w:rFonts w:ascii="Times New Roman" w:hAnsi="Times New Roman" w:cs="Times New Roman"/>
          <w:i/>
          <w:sz w:val="24"/>
          <w:szCs w:val="24"/>
        </w:rPr>
        <w:t>. Pokud jde o samotný průběh exekučního řízení, tak platí, že některá ustanovení jsou stejná či podobná. V případě nařizování exekuce, zde najdeme odlišnosti. Jestliže se jedná například o exekuci p</w:t>
      </w:r>
      <w:r w:rsidRPr="006B3FB3">
        <w:rPr>
          <w:rFonts w:ascii="Times New Roman" w:hAnsi="Times New Roman" w:cs="Times New Roman"/>
          <w:i/>
          <w:sz w:val="24"/>
          <w:szCs w:val="24"/>
          <w:lang w:val="fr-FR"/>
        </w:rPr>
        <w:t>é</w:t>
      </w:r>
      <w:r w:rsidRPr="006B3FB3">
        <w:rPr>
          <w:rFonts w:ascii="Times New Roman" w:hAnsi="Times New Roman" w:cs="Times New Roman"/>
          <w:i/>
          <w:sz w:val="24"/>
          <w:szCs w:val="24"/>
        </w:rPr>
        <w:t>če o nezletil</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dítě je nařízení výkonu bezodkladn</w:t>
      </w:r>
      <w:r w:rsidRPr="006B3FB3">
        <w:rPr>
          <w:rFonts w:ascii="Times New Roman" w:hAnsi="Times New Roman" w:cs="Times New Roman"/>
          <w:i/>
          <w:sz w:val="24"/>
          <w:szCs w:val="24"/>
          <w:lang w:val="fr-FR"/>
        </w:rPr>
        <w:t>é</w:t>
      </w:r>
      <w:r w:rsidRPr="006B3FB3">
        <w:rPr>
          <w:rFonts w:ascii="Times New Roman" w:hAnsi="Times New Roman" w:cs="Times New Roman"/>
          <w:i/>
          <w:sz w:val="24"/>
          <w:szCs w:val="24"/>
        </w:rPr>
        <w:t>. Soudní exekuce se nařizuje na návrh oprávněn</w:t>
      </w:r>
      <w:r w:rsidRPr="006B3FB3">
        <w:rPr>
          <w:rFonts w:ascii="Times New Roman" w:hAnsi="Times New Roman" w:cs="Times New Roman"/>
          <w:i/>
          <w:sz w:val="24"/>
          <w:szCs w:val="24"/>
          <w:lang w:val="fr-FR"/>
        </w:rPr>
        <w:t>é</w:t>
      </w:r>
      <w:r w:rsidRPr="006B3FB3">
        <w:rPr>
          <w:rFonts w:ascii="Times New Roman" w:hAnsi="Times New Roman" w:cs="Times New Roman"/>
          <w:i/>
          <w:sz w:val="24"/>
          <w:szCs w:val="24"/>
        </w:rPr>
        <w:t>ho, správní exekuce je nařizována na základě žádosti či z moci úřední. U exekuce daňov</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 xml:space="preserve">je to pouze z moci úřední. </w:t>
      </w:r>
    </w:p>
    <w:p w:rsidR="00990022" w:rsidRPr="006B3FB3" w:rsidRDefault="00990022" w:rsidP="00990022">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w:hAnsi="Times New Roman" w:cs="Times New Roman"/>
          <w:i/>
          <w:sz w:val="24"/>
          <w:szCs w:val="24"/>
        </w:rPr>
      </w:pPr>
      <w:r w:rsidRPr="006B3FB3">
        <w:rPr>
          <w:rFonts w:ascii="Times New Roman" w:hAnsi="Times New Roman" w:cs="Times New Roman"/>
          <w:i/>
          <w:sz w:val="24"/>
          <w:szCs w:val="24"/>
        </w:rPr>
        <w:tab/>
        <w:t xml:space="preserve">Pokud se jedná </w:t>
      </w:r>
      <w:r w:rsidRPr="006B3FB3">
        <w:rPr>
          <w:rFonts w:ascii="Times New Roman" w:hAnsi="Times New Roman" w:cs="Times New Roman"/>
          <w:i/>
          <w:sz w:val="24"/>
          <w:szCs w:val="24"/>
          <w:lang w:val="pt-PT"/>
        </w:rPr>
        <w:t>o pr</w:t>
      </w:r>
      <w:r w:rsidRPr="006B3FB3">
        <w:rPr>
          <w:rFonts w:ascii="Times New Roman" w:hAnsi="Times New Roman" w:cs="Times New Roman"/>
          <w:i/>
          <w:sz w:val="24"/>
          <w:szCs w:val="24"/>
        </w:rPr>
        <w:t>ávo na odklad a zastavení exekuce mají tyto druhy skoro shodn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podmínky. V případě odkladu a zastavení exekuce musí být v obou způsobech uvedeny důvody pro odložení a zastavení řízení. Následně jsou zde opravn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prostředky neboli námitky. Ty jsou tak</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odlišní. V případě exekuce správní upraven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ve správním řádu například není možn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se proti rozhodnutí odvolat, přípustn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 xml:space="preserve">jsou pouze, jako opravný prostředek, námitky. </w:t>
      </w:r>
    </w:p>
    <w:p w:rsidR="00990022" w:rsidRPr="006B3FB3" w:rsidRDefault="00990022" w:rsidP="00990022">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both"/>
        <w:rPr>
          <w:rStyle w:val="dn"/>
          <w:rFonts w:ascii="Times New Roman" w:eastAsia="Times New Roman" w:hAnsi="Times New Roman" w:cs="Times New Roman"/>
          <w:i/>
          <w:sz w:val="24"/>
          <w:szCs w:val="24"/>
        </w:rPr>
      </w:pPr>
      <w:r w:rsidRPr="006B3FB3">
        <w:rPr>
          <w:rFonts w:ascii="Times New Roman" w:hAnsi="Times New Roman" w:cs="Times New Roman"/>
          <w:i/>
          <w:sz w:val="24"/>
          <w:szCs w:val="24"/>
        </w:rPr>
        <w:tab/>
        <w:t>Dále tak</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lang w:val="pt-PT"/>
        </w:rPr>
        <w:t>co se t</w:t>
      </w:r>
      <w:r w:rsidRPr="006B3FB3">
        <w:rPr>
          <w:rFonts w:ascii="Times New Roman" w:hAnsi="Times New Roman" w:cs="Times New Roman"/>
          <w:i/>
          <w:sz w:val="24"/>
          <w:szCs w:val="24"/>
        </w:rPr>
        <w:t xml:space="preserve">ýče nákladů řízení, tak mají společná ustanovení. V případě těchto nákladů je rozdílný okamžik kdy jsou náklady stanoveny. Všechny druhy exekuce jsou uspokojování </w:t>
      </w:r>
      <w:r w:rsidRPr="006B3FB3">
        <w:rPr>
          <w:rFonts w:ascii="Times New Roman" w:hAnsi="Times New Roman" w:cs="Times New Roman"/>
          <w:i/>
          <w:sz w:val="24"/>
          <w:szCs w:val="24"/>
          <w:lang w:val="de-DE"/>
        </w:rPr>
        <w:t>urc</w:t>
      </w:r>
      <w:r w:rsidRPr="006B3FB3">
        <w:rPr>
          <w:rFonts w:ascii="Times New Roman" w:hAnsi="Times New Roman" w:cs="Times New Roman"/>
          <w:i/>
          <w:sz w:val="24"/>
          <w:szCs w:val="24"/>
        </w:rPr>
        <w:t>̌itými způsoby. Co se týče výkonu, exekuce prováděn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soudním exekutorem a daňov</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exekuce na peněžit</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plnění má stejn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ustanovení způsobů plnění. Jsou to srážky ze mzdy, přikázání pohledávky, prodej movitých věcí a nemovitostí, prodej podniku a soudcovsk</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 xml:space="preserve">zástavní právo. Toto zástavní právo však na rozdíl od ostatních způsobů stojí mimo, jelikož se jedná </w:t>
      </w:r>
      <w:r w:rsidRPr="006B3FB3">
        <w:rPr>
          <w:rFonts w:ascii="Times New Roman" w:hAnsi="Times New Roman" w:cs="Times New Roman"/>
          <w:i/>
          <w:sz w:val="24"/>
          <w:szCs w:val="24"/>
          <w:lang w:val="it-IT"/>
        </w:rPr>
        <w:t>o v</w:t>
      </w:r>
      <w:r w:rsidRPr="006B3FB3">
        <w:rPr>
          <w:rFonts w:ascii="Times New Roman" w:hAnsi="Times New Roman" w:cs="Times New Roman"/>
          <w:i/>
          <w:sz w:val="24"/>
          <w:szCs w:val="24"/>
        </w:rPr>
        <w:t>ý</w:t>
      </w:r>
      <w:r w:rsidRPr="006B3FB3">
        <w:rPr>
          <w:rFonts w:ascii="Times New Roman" w:hAnsi="Times New Roman" w:cs="Times New Roman"/>
          <w:i/>
          <w:sz w:val="24"/>
          <w:szCs w:val="24"/>
          <w:lang w:val="nl-NL"/>
        </w:rPr>
        <w:t>luc</w:t>
      </w:r>
      <w:r w:rsidRPr="006B3FB3">
        <w:rPr>
          <w:rFonts w:ascii="Times New Roman" w:hAnsi="Times New Roman" w:cs="Times New Roman"/>
          <w:i/>
          <w:sz w:val="24"/>
          <w:szCs w:val="24"/>
        </w:rPr>
        <w:t>̌n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právo soudů. V podobných ustanoveních nepeněžit</w:t>
      </w:r>
      <w:r w:rsidRPr="006B3FB3">
        <w:rPr>
          <w:rFonts w:ascii="Times New Roman" w:hAnsi="Times New Roman" w:cs="Times New Roman"/>
          <w:i/>
          <w:sz w:val="24"/>
          <w:szCs w:val="24"/>
          <w:lang w:val="fr-FR"/>
        </w:rPr>
        <w:t>é</w:t>
      </w:r>
      <w:r w:rsidRPr="006B3FB3">
        <w:rPr>
          <w:rFonts w:ascii="Times New Roman" w:hAnsi="Times New Roman" w:cs="Times New Roman"/>
          <w:i/>
          <w:sz w:val="24"/>
          <w:szCs w:val="24"/>
        </w:rPr>
        <w:t>m plnění se shoduje pouze výkon rozhodnutí a exekuce prováděna soudním exekutorem. Správní exekuce na nepeněžit</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plnění má zcela odlišn</w:t>
      </w:r>
      <w:r w:rsidRPr="006B3FB3">
        <w:rPr>
          <w:rFonts w:ascii="Times New Roman" w:hAnsi="Times New Roman" w:cs="Times New Roman"/>
          <w:i/>
          <w:sz w:val="24"/>
          <w:szCs w:val="24"/>
          <w:lang w:val="fr-FR"/>
        </w:rPr>
        <w:t xml:space="preserve">é </w:t>
      </w:r>
      <w:r w:rsidRPr="006B3FB3">
        <w:rPr>
          <w:rFonts w:ascii="Times New Roman" w:hAnsi="Times New Roman" w:cs="Times New Roman"/>
          <w:i/>
          <w:sz w:val="24"/>
          <w:szCs w:val="24"/>
        </w:rPr>
        <w:t>způsoby provedení exekuce.</w:t>
      </w:r>
      <w:r w:rsidR="006B3FB3">
        <w:rPr>
          <w:rFonts w:ascii="Times New Roman" w:hAnsi="Times New Roman" w:cs="Times New Roman"/>
          <w:i/>
          <w:sz w:val="24"/>
          <w:szCs w:val="24"/>
        </w:rPr>
        <w:t>“</w:t>
      </w:r>
      <w:r w:rsidR="006B3FB3">
        <w:rPr>
          <w:rStyle w:val="Znakapoznpodarou"/>
          <w:rFonts w:ascii="Times New Roman" w:hAnsi="Times New Roman" w:cs="Times New Roman"/>
          <w:i/>
          <w:sz w:val="24"/>
          <w:szCs w:val="24"/>
        </w:rPr>
        <w:footnoteReference w:id="139"/>
      </w:r>
      <w:r w:rsidRPr="006B3FB3">
        <w:rPr>
          <w:rFonts w:ascii="Times New Roman" w:hAnsi="Times New Roman" w:cs="Times New Roman"/>
          <w:i/>
          <w:sz w:val="24"/>
          <w:szCs w:val="24"/>
        </w:rPr>
        <w:t xml:space="preserve"> </w:t>
      </w:r>
    </w:p>
    <w:p w:rsidR="00990022" w:rsidRPr="00C02AF2" w:rsidRDefault="00990022" w:rsidP="00990022">
      <w:pPr>
        <w:rPr>
          <w:rStyle w:val="dn"/>
          <w:rFonts w:eastAsia="Times New Roman" w:cs="Times New Roman"/>
          <w:szCs w:val="24"/>
        </w:rPr>
      </w:pPr>
      <w:r w:rsidRPr="00C02AF2">
        <w:rPr>
          <w:rStyle w:val="dn"/>
          <w:rFonts w:cs="Times New Roman"/>
          <w:szCs w:val="24"/>
        </w:rPr>
        <w:t>V těchto shodných a rozdílných znacích exekucí je pro správn</w:t>
      </w:r>
      <w:r w:rsidRPr="00C02AF2">
        <w:rPr>
          <w:rStyle w:val="dn"/>
          <w:rFonts w:cs="Times New Roman"/>
          <w:szCs w:val="24"/>
          <w:lang w:val="fr-FR"/>
        </w:rPr>
        <w:t xml:space="preserve">é </w:t>
      </w:r>
      <w:r w:rsidRPr="00C02AF2">
        <w:rPr>
          <w:rStyle w:val="dn"/>
          <w:rFonts w:cs="Times New Roman"/>
          <w:szCs w:val="24"/>
        </w:rPr>
        <w:t>pochopení nutn</w:t>
      </w:r>
      <w:r w:rsidRPr="00C02AF2">
        <w:rPr>
          <w:rStyle w:val="dn"/>
          <w:rFonts w:cs="Times New Roman"/>
          <w:szCs w:val="24"/>
          <w:lang w:val="fr-FR"/>
        </w:rPr>
        <w:t xml:space="preserve">é </w:t>
      </w:r>
      <w:r w:rsidRPr="00C02AF2">
        <w:rPr>
          <w:rStyle w:val="dn"/>
          <w:rFonts w:cs="Times New Roman"/>
          <w:szCs w:val="24"/>
        </w:rPr>
        <w:t>se řádně zorientovat. Je zřejm</w:t>
      </w:r>
      <w:r w:rsidRPr="00C02AF2">
        <w:rPr>
          <w:rStyle w:val="dn"/>
          <w:rFonts w:cs="Times New Roman"/>
          <w:szCs w:val="24"/>
          <w:lang w:val="fr-FR"/>
        </w:rPr>
        <w:t>é</w:t>
      </w:r>
      <w:r w:rsidRPr="00C02AF2">
        <w:rPr>
          <w:rStyle w:val="dn"/>
          <w:rFonts w:cs="Times New Roman"/>
          <w:szCs w:val="24"/>
        </w:rPr>
        <w:t xml:space="preserve">, že pro laickou veřejnost je existence více druhů exekucí </w:t>
      </w:r>
      <w:r w:rsidRPr="00C02AF2">
        <w:rPr>
          <w:rStyle w:val="dn"/>
          <w:rFonts w:cs="Times New Roman"/>
          <w:szCs w:val="24"/>
          <w:lang w:val="it-IT"/>
        </w:rPr>
        <w:t>matouc</w:t>
      </w:r>
      <w:r w:rsidRPr="00C02AF2">
        <w:rPr>
          <w:rStyle w:val="dn"/>
          <w:rFonts w:cs="Times New Roman"/>
          <w:szCs w:val="24"/>
        </w:rPr>
        <w:t>í, a většina se vcelku mylně domnívá, že každá exekuce je řešena podle vlastních pravidel. Shora uveden</w:t>
      </w:r>
      <w:r w:rsidRPr="00C02AF2">
        <w:rPr>
          <w:rStyle w:val="dn"/>
          <w:rFonts w:cs="Times New Roman"/>
          <w:szCs w:val="24"/>
          <w:lang w:val="fr-FR"/>
        </w:rPr>
        <w:t xml:space="preserve">é </w:t>
      </w:r>
      <w:r w:rsidRPr="00C02AF2">
        <w:rPr>
          <w:rStyle w:val="dn"/>
          <w:rFonts w:cs="Times New Roman"/>
          <w:szCs w:val="24"/>
        </w:rPr>
        <w:t>informace o jednotlivých exekucích pouze dokazují, že i přes na první pohled zjevnou odlišnost jsou v základu všechny exekuce stejn</w:t>
      </w:r>
      <w:r w:rsidRPr="00C02AF2">
        <w:rPr>
          <w:rStyle w:val="dn"/>
          <w:rFonts w:cs="Times New Roman"/>
          <w:szCs w:val="24"/>
          <w:lang w:val="fr-FR"/>
        </w:rPr>
        <w:t>é</w:t>
      </w:r>
      <w:r w:rsidRPr="00C02AF2">
        <w:rPr>
          <w:rStyle w:val="dn"/>
          <w:rFonts w:cs="Times New Roman"/>
          <w:szCs w:val="24"/>
        </w:rPr>
        <w:t>.</w:t>
      </w:r>
    </w:p>
    <w:p w:rsidR="009B70FF" w:rsidRDefault="009B70FF" w:rsidP="009B70FF">
      <w:pPr>
        <w:spacing w:line="240" w:lineRule="auto"/>
        <w:rPr>
          <w:rStyle w:val="dn"/>
          <w:rFonts w:eastAsia="Cambria" w:cs="Cambria"/>
          <w:b/>
          <w:bCs/>
          <w:caps/>
          <w:sz w:val="28"/>
          <w:szCs w:val="28"/>
        </w:rPr>
      </w:pPr>
      <w:r>
        <w:rPr>
          <w:rStyle w:val="dn"/>
        </w:rPr>
        <w:br w:type="page"/>
      </w:r>
    </w:p>
    <w:p w:rsidR="009B70FF" w:rsidRDefault="009B70FF" w:rsidP="009B70FF">
      <w:pPr>
        <w:pStyle w:val="Nadpis1"/>
        <w:ind w:firstLine="0"/>
        <w:rPr>
          <w:rFonts w:eastAsia="Times New Roman" w:cs="Times New Roman"/>
          <w:color w:val="000000"/>
        </w:rPr>
      </w:pPr>
      <w:bookmarkStart w:id="116" w:name="_Toc18276753"/>
      <w:bookmarkStart w:id="117" w:name="_Toc18313973"/>
      <w:r>
        <w:rPr>
          <w:rStyle w:val="dn"/>
          <w:color w:val="000000"/>
          <w:u w:color="000000"/>
        </w:rPr>
        <w:t>Závěr</w:t>
      </w:r>
      <w:bookmarkEnd w:id="116"/>
      <w:bookmarkEnd w:id="117"/>
      <w:r>
        <w:rPr>
          <w:rStyle w:val="dn"/>
          <w:color w:val="000000"/>
          <w:u w:color="000000"/>
        </w:rPr>
        <w:t xml:space="preserve"> </w:t>
      </w:r>
      <w:bookmarkEnd w:id="115"/>
    </w:p>
    <w:p w:rsidR="00990022" w:rsidRPr="00C02AF2" w:rsidRDefault="00990022" w:rsidP="00990022">
      <w:pPr>
        <w:pStyle w:val="Default"/>
        <w:spacing w:line="360" w:lineRule="auto"/>
        <w:jc w:val="both"/>
        <w:rPr>
          <w:rFonts w:cs="Times New Roman"/>
        </w:rPr>
      </w:pPr>
      <w:bookmarkStart w:id="118" w:name="_Toc39"/>
      <w:r w:rsidRPr="00C02AF2">
        <w:rPr>
          <w:rFonts w:cs="Times New Roman"/>
        </w:rPr>
        <w:t>Mým úkolem v diplomové práci, na t</w:t>
      </w:r>
      <w:r w:rsidRPr="00C02AF2">
        <w:rPr>
          <w:rFonts w:cs="Times New Roman"/>
          <w:lang w:val="fr-FR"/>
        </w:rPr>
        <w:t>é</w:t>
      </w:r>
      <w:r w:rsidRPr="00C02AF2">
        <w:rPr>
          <w:rFonts w:cs="Times New Roman"/>
          <w:lang w:val="it-IT"/>
        </w:rPr>
        <w:t xml:space="preserve">ma </w:t>
      </w:r>
      <w:r w:rsidRPr="00C02AF2">
        <w:rPr>
          <w:rFonts w:cs="Times New Roman"/>
        </w:rPr>
        <w:t xml:space="preserve">„porovnání exekuce správní a soudní“ bylo rozšířit původní bakalářskou práci, obohatit ji o nové poznatky a zahrnout nová témata. </w:t>
      </w:r>
      <w:r>
        <w:rPr>
          <w:rFonts w:cs="Times New Roman"/>
        </w:rPr>
        <w:t>I přesto, že se mi podařilo práci rozšířit, s</w:t>
      </w:r>
      <w:r w:rsidRPr="00C02AF2">
        <w:rPr>
          <w:rFonts w:cs="Times New Roman"/>
        </w:rPr>
        <w:t>tále zastávám názor, že se jedná o velmi obsá</w:t>
      </w:r>
      <w:r w:rsidRPr="00C02AF2">
        <w:rPr>
          <w:rFonts w:cs="Times New Roman"/>
          <w:lang w:val="de-DE"/>
        </w:rPr>
        <w:t>hl</w:t>
      </w:r>
      <w:r w:rsidRPr="00C02AF2">
        <w:rPr>
          <w:rFonts w:cs="Times New Roman"/>
          <w:lang w:val="fr-FR"/>
        </w:rPr>
        <w:t xml:space="preserve">é </w:t>
      </w:r>
      <w:r w:rsidRPr="00C02AF2">
        <w:rPr>
          <w:rFonts w:cs="Times New Roman"/>
        </w:rPr>
        <w:t>t</w:t>
      </w:r>
      <w:r w:rsidRPr="00C02AF2">
        <w:rPr>
          <w:rFonts w:cs="Times New Roman"/>
          <w:lang w:val="fr-FR"/>
        </w:rPr>
        <w:t>é</w:t>
      </w:r>
      <w:r w:rsidRPr="00C02AF2">
        <w:rPr>
          <w:rFonts w:cs="Times New Roman"/>
        </w:rPr>
        <w:t>ma, které upravuje mno</w:t>
      </w:r>
      <w:r w:rsidR="00FB5416">
        <w:rPr>
          <w:rFonts w:cs="Times New Roman"/>
        </w:rPr>
        <w:t>ho právních předpisů, judikatura a knižní publikace</w:t>
      </w:r>
      <w:r w:rsidRPr="00C02AF2">
        <w:rPr>
          <w:rFonts w:cs="Times New Roman"/>
        </w:rPr>
        <w:t xml:space="preserve">. </w:t>
      </w:r>
    </w:p>
    <w:p w:rsidR="008F2973" w:rsidRDefault="00FB5416" w:rsidP="00990022">
      <w:pPr>
        <w:pStyle w:val="Default"/>
        <w:spacing w:line="360" w:lineRule="auto"/>
        <w:jc w:val="both"/>
        <w:rPr>
          <w:rFonts w:cs="Times New Roman"/>
        </w:rPr>
      </w:pPr>
      <w:r>
        <w:rPr>
          <w:rFonts w:cs="Times New Roman"/>
        </w:rPr>
        <w:tab/>
        <w:t>Práce je rozšířen</w:t>
      </w:r>
      <w:r w:rsidR="008F2973">
        <w:rPr>
          <w:rFonts w:cs="Times New Roman"/>
        </w:rPr>
        <w:t>a o</w:t>
      </w:r>
      <w:r>
        <w:rPr>
          <w:rFonts w:cs="Times New Roman"/>
        </w:rPr>
        <w:t xml:space="preserve"> průběh </w:t>
      </w:r>
      <w:r w:rsidR="00990022" w:rsidRPr="00C02AF2">
        <w:rPr>
          <w:rFonts w:cs="Times New Roman"/>
        </w:rPr>
        <w:t>a způsoby plnění exekučního řízení obou druhů. Exekuce jako vynucovací prostředek, neustále prochází vývojem. K vývoji exekučního řízení, které</w:t>
      </w:r>
      <w:r w:rsidR="00990022">
        <w:rPr>
          <w:rFonts w:cs="Times New Roman"/>
        </w:rPr>
        <w:t xml:space="preserve">mu se v této práci znovu věnuji, </w:t>
      </w:r>
      <w:r w:rsidR="00990022" w:rsidRPr="00C02AF2">
        <w:rPr>
          <w:rFonts w:cs="Times New Roman"/>
        </w:rPr>
        <w:t xml:space="preserve">jsou pro pochopení zahrnuty další historické mezníky včetně přijetí zákona o činnosti soudních exekutorů, který je pro exekuční řízení tak stěžejní. V této práci jsem se </w:t>
      </w:r>
      <w:r w:rsidR="008F2973">
        <w:rPr>
          <w:rFonts w:cs="Times New Roman"/>
        </w:rPr>
        <w:t xml:space="preserve">tímto </w:t>
      </w:r>
      <w:r w:rsidR="00990022" w:rsidRPr="00C02AF2">
        <w:rPr>
          <w:rFonts w:cs="Times New Roman"/>
        </w:rPr>
        <w:t xml:space="preserve">snažila doplnit témata, která </w:t>
      </w:r>
      <w:r>
        <w:rPr>
          <w:rFonts w:cs="Times New Roman"/>
        </w:rPr>
        <w:t>v bakalářské práci ne</w:t>
      </w:r>
      <w:r w:rsidR="008F2973">
        <w:rPr>
          <w:rFonts w:cs="Times New Roman"/>
        </w:rPr>
        <w:t xml:space="preserve">byla </w:t>
      </w:r>
      <w:r>
        <w:rPr>
          <w:rFonts w:cs="Times New Roman"/>
        </w:rPr>
        <w:t>obsáhnuta</w:t>
      </w:r>
      <w:r w:rsidR="00990022" w:rsidRPr="00C02AF2">
        <w:rPr>
          <w:rFonts w:cs="Times New Roman"/>
        </w:rPr>
        <w:t xml:space="preserve">. </w:t>
      </w:r>
    </w:p>
    <w:p w:rsidR="00990022" w:rsidRPr="00C02AF2" w:rsidRDefault="00990022" w:rsidP="008F2973">
      <w:pPr>
        <w:pStyle w:val="Default"/>
        <w:spacing w:line="360" w:lineRule="auto"/>
        <w:ind w:firstLine="709"/>
        <w:jc w:val="both"/>
        <w:rPr>
          <w:rFonts w:cs="Times New Roman"/>
        </w:rPr>
      </w:pPr>
      <w:r w:rsidRPr="00C02AF2">
        <w:rPr>
          <w:rFonts w:cs="Times New Roman"/>
        </w:rPr>
        <w:t>Pro mne osobně nejzajímavějším a momentálně dosti dramatickým procesem je zavedení místní příslušnosti exekutorů. Jelikože jsem měla možnost spolupracovat se soudní exekutorkou vedoucí velký a úspěšně fungující exekutorský úřad, přikláním se k názoru pro nezavedení teritoriality a setrváním v současném stavu</w:t>
      </w:r>
      <w:r w:rsidR="00FB5416">
        <w:rPr>
          <w:rFonts w:cs="Times New Roman"/>
        </w:rPr>
        <w:t>, který se mi jeví jako dosti účinný</w:t>
      </w:r>
      <w:r w:rsidRPr="00C02AF2">
        <w:rPr>
          <w:rFonts w:cs="Times New Roman"/>
        </w:rPr>
        <w:t xml:space="preserve">. </w:t>
      </w:r>
      <w:r w:rsidR="00FB5416">
        <w:rPr>
          <w:rFonts w:cs="Times New Roman"/>
        </w:rPr>
        <w:t xml:space="preserve">Vymahatelnost pohledávek se rok od roku zvyšuje, proto si nejsem jistá, zdali by zavedením teritoriality neměla opačný efekt. </w:t>
      </w:r>
    </w:p>
    <w:p w:rsidR="00990022" w:rsidRPr="00C02AF2" w:rsidRDefault="00990022" w:rsidP="00990022">
      <w:pPr>
        <w:pStyle w:val="Default"/>
        <w:spacing w:line="360" w:lineRule="auto"/>
        <w:jc w:val="both"/>
        <w:rPr>
          <w:rFonts w:cs="Times New Roman"/>
        </w:rPr>
      </w:pPr>
      <w:r w:rsidRPr="00C02AF2">
        <w:rPr>
          <w:rFonts w:cs="Times New Roman"/>
        </w:rPr>
        <w:tab/>
        <w:t xml:space="preserve">V práci je </w:t>
      </w:r>
      <w:r w:rsidR="008F2973">
        <w:rPr>
          <w:rFonts w:cs="Times New Roman"/>
        </w:rPr>
        <w:t>použ</w:t>
      </w:r>
      <w:r w:rsidR="00FB5416">
        <w:rPr>
          <w:rFonts w:cs="Times New Roman"/>
        </w:rPr>
        <w:t xml:space="preserve">it </w:t>
      </w:r>
      <w:r w:rsidR="008F2973">
        <w:rPr>
          <w:rFonts w:cs="Times New Roman"/>
        </w:rPr>
        <w:t xml:space="preserve">dle mého velmi vydařený </w:t>
      </w:r>
      <w:r w:rsidRPr="00C02AF2">
        <w:rPr>
          <w:rFonts w:cs="Times New Roman"/>
        </w:rPr>
        <w:t>rozhovor se soudní exekutorskou Mgr. Zuzanou Sobíškovou</w:t>
      </w:r>
      <w:r w:rsidR="008F2973">
        <w:rPr>
          <w:rFonts w:cs="Times New Roman"/>
        </w:rPr>
        <w:t>, který byl použit jako doplňující pro bakalářskou práci</w:t>
      </w:r>
      <w:r w:rsidRPr="00C02AF2">
        <w:rPr>
          <w:rFonts w:cs="Times New Roman"/>
        </w:rPr>
        <w:t xml:space="preserve">. K práci jsou navíc připojeny argumenty </w:t>
      </w:r>
      <w:r w:rsidR="008F2973">
        <w:rPr>
          <w:rFonts w:cs="Times New Roman"/>
        </w:rPr>
        <w:t xml:space="preserve">pro a </w:t>
      </w:r>
      <w:r w:rsidRPr="00C02AF2">
        <w:rPr>
          <w:rFonts w:cs="Times New Roman"/>
        </w:rPr>
        <w:t xml:space="preserve">proti zavedení místní příslušnosti exekutorů a zrušení práva volby exekutora oprávněným. </w:t>
      </w:r>
    </w:p>
    <w:p w:rsidR="008F2973" w:rsidRDefault="00990022" w:rsidP="008F2973">
      <w:pPr>
        <w:pStyle w:val="Default"/>
        <w:spacing w:line="360" w:lineRule="auto"/>
        <w:ind w:firstLine="709"/>
        <w:jc w:val="both"/>
        <w:rPr>
          <w:rStyle w:val="dn"/>
          <w:rFonts w:cs="Times New Roman"/>
        </w:rPr>
      </w:pPr>
      <w:r w:rsidRPr="00C02AF2">
        <w:rPr>
          <w:rFonts w:cs="Times New Roman"/>
        </w:rPr>
        <w:t>Problematika exekucí a vymáhání dluhů je nekonečným kolotočem. Lidé se naustále zadlužují a upisují se k nevýhodným úvěrům s ještě nevý</w:t>
      </w:r>
      <w:r w:rsidR="008F2973">
        <w:rPr>
          <w:rFonts w:cs="Times New Roman"/>
        </w:rPr>
        <w:t>hodnějšími</w:t>
      </w:r>
      <w:r w:rsidRPr="00C02AF2">
        <w:rPr>
          <w:rFonts w:cs="Times New Roman"/>
        </w:rPr>
        <w:t xml:space="preserve"> úroky. Spousta lidí si neuvědomuje rizika spojená </w:t>
      </w:r>
      <w:r w:rsidRPr="00C02AF2">
        <w:rPr>
          <w:rFonts w:cs="Times New Roman"/>
          <w:lang w:val="fr-FR"/>
        </w:rPr>
        <w:t>s p</w:t>
      </w:r>
      <w:r w:rsidRPr="00C02AF2">
        <w:rPr>
          <w:rFonts w:cs="Times New Roman"/>
        </w:rPr>
        <w:t xml:space="preserve">ůjčkami a neplněním svých povinností. Díky tomu se pak dlužníci dostávají </w:t>
      </w:r>
      <w:r w:rsidRPr="00C02AF2">
        <w:rPr>
          <w:rFonts w:cs="Times New Roman"/>
          <w:lang w:val="pt-PT"/>
        </w:rPr>
        <w:t>do t</w:t>
      </w:r>
      <w:r w:rsidRPr="00C02AF2">
        <w:rPr>
          <w:rFonts w:cs="Times New Roman"/>
        </w:rPr>
        <w:t>ěžký</w:t>
      </w:r>
      <w:r w:rsidRPr="00C02AF2">
        <w:rPr>
          <w:rFonts w:cs="Times New Roman"/>
          <w:lang w:val="de-DE"/>
        </w:rPr>
        <w:t xml:space="preserve">ch </w:t>
      </w:r>
      <w:r w:rsidRPr="00C02AF2">
        <w:rPr>
          <w:rFonts w:cs="Times New Roman"/>
        </w:rPr>
        <w:t xml:space="preserve">životních situací a jejich finanční situace klesá až </w:t>
      </w:r>
      <w:r w:rsidRPr="00C02AF2">
        <w:rPr>
          <w:rFonts w:cs="Times New Roman"/>
          <w:lang w:val="pt-PT"/>
        </w:rPr>
        <w:t>na existen</w:t>
      </w:r>
      <w:r w:rsidRPr="00C02AF2">
        <w:rPr>
          <w:rFonts w:cs="Times New Roman"/>
        </w:rPr>
        <w:t>ční minimum. Dle m</w:t>
      </w:r>
      <w:r w:rsidRPr="00C02AF2">
        <w:rPr>
          <w:rFonts w:cs="Times New Roman"/>
          <w:lang w:val="fr-FR"/>
        </w:rPr>
        <w:t>é</w:t>
      </w:r>
      <w:r w:rsidRPr="00C02AF2">
        <w:rPr>
          <w:rFonts w:cs="Times New Roman"/>
        </w:rPr>
        <w:t xml:space="preserve">ho </w:t>
      </w:r>
      <w:r w:rsidRPr="00C02AF2">
        <w:rPr>
          <w:rStyle w:val="dn"/>
          <w:rFonts w:cs="Times New Roman"/>
        </w:rPr>
        <w:t>názoru by se měly neustále zkvalitňovat právní poradensk</w:t>
      </w:r>
      <w:r w:rsidRPr="00C02AF2">
        <w:rPr>
          <w:rStyle w:val="dn"/>
          <w:rFonts w:cs="Times New Roman"/>
          <w:lang w:val="fr-FR"/>
        </w:rPr>
        <w:t xml:space="preserve">é </w:t>
      </w:r>
      <w:r w:rsidRPr="00C02AF2">
        <w:rPr>
          <w:rStyle w:val="dn"/>
          <w:rFonts w:cs="Times New Roman"/>
        </w:rPr>
        <w:t>služby, přístupné širok</w:t>
      </w:r>
      <w:r w:rsidRPr="00C02AF2">
        <w:rPr>
          <w:rStyle w:val="dn"/>
          <w:rFonts w:cs="Times New Roman"/>
          <w:lang w:val="fr-FR"/>
        </w:rPr>
        <w:t xml:space="preserve">é </w:t>
      </w:r>
      <w:r w:rsidRPr="00C02AF2">
        <w:rPr>
          <w:rStyle w:val="dn"/>
          <w:rFonts w:cs="Times New Roman"/>
        </w:rPr>
        <w:t>veřejnosti. Pokud stoupne lidem právní povědomí, jistě se spousta lidí vyvaruje neplnění svých povinností vedoucí k dlouh</w:t>
      </w:r>
      <w:r w:rsidRPr="00C02AF2">
        <w:rPr>
          <w:rStyle w:val="dn"/>
          <w:rFonts w:cs="Times New Roman"/>
          <w:lang w:val="fr-FR"/>
        </w:rPr>
        <w:t>é</w:t>
      </w:r>
      <w:r w:rsidRPr="00C02AF2">
        <w:rPr>
          <w:rStyle w:val="dn"/>
          <w:rFonts w:cs="Times New Roman"/>
        </w:rPr>
        <w:t>mu a mnohdy nekonečn</w:t>
      </w:r>
      <w:r w:rsidRPr="00C02AF2">
        <w:rPr>
          <w:rStyle w:val="dn"/>
          <w:rFonts w:cs="Times New Roman"/>
          <w:lang w:val="fr-FR"/>
        </w:rPr>
        <w:t>é</w:t>
      </w:r>
      <w:r w:rsidRPr="00C02AF2">
        <w:rPr>
          <w:rStyle w:val="dn"/>
          <w:rFonts w:cs="Times New Roman"/>
        </w:rPr>
        <w:t>mu</w:t>
      </w:r>
      <w:r w:rsidR="008F2973">
        <w:rPr>
          <w:rStyle w:val="dn"/>
          <w:rFonts w:cs="Times New Roman"/>
        </w:rPr>
        <w:t xml:space="preserve">. Nicméně je potřeba aby dlužníci s exekutory či orgány vykonávajícími exekuci komunikovali. Komunikace a součinost s orgány vykonávajícími exekuci je pro dlužníka velmi pozitivním krokem k co nejmenšímu zásahu do jeho majetkových práv. </w:t>
      </w:r>
    </w:p>
    <w:p w:rsidR="0044491D" w:rsidRDefault="0044491D" w:rsidP="0044491D">
      <w:pPr>
        <w:pStyle w:val="Nadpis1"/>
        <w:rPr>
          <w:rStyle w:val="dn"/>
          <w:rFonts w:cs="Times New Roman"/>
        </w:rPr>
      </w:pPr>
      <w:bookmarkStart w:id="119" w:name="_Toc18313974"/>
      <w:r>
        <w:rPr>
          <w:rStyle w:val="dn"/>
          <w:rFonts w:cs="Times New Roman"/>
        </w:rPr>
        <w:t>Resumé</w:t>
      </w:r>
      <w:bookmarkEnd w:id="119"/>
    </w:p>
    <w:p w:rsidR="0044491D" w:rsidRDefault="0044491D" w:rsidP="0044491D">
      <w:r>
        <w:t>The aim of</w:t>
      </w:r>
      <w:r>
        <w:rPr>
          <w:lang w:val="en-US"/>
        </w:rPr>
        <w:t xml:space="preserve"> this thesis, entitled "compari</w:t>
      </w:r>
      <w:r w:rsidR="00473F2C">
        <w:rPr>
          <w:lang w:val="en-US"/>
        </w:rPr>
        <w:t xml:space="preserve">son of </w:t>
      </w:r>
      <w:r>
        <w:rPr>
          <w:lang w:val="en-US"/>
        </w:rPr>
        <w:t xml:space="preserve">administrative and judicial execution" was to extend the original bachelor thesis, enrich it with new </w:t>
      </w:r>
      <w:r w:rsidR="00473F2C">
        <w:rPr>
          <w:lang w:val="en-US"/>
        </w:rPr>
        <w:t>knowledge and incorporate new t</w:t>
      </w:r>
      <w:r>
        <w:t>opics</w:t>
      </w:r>
      <w:r>
        <w:rPr>
          <w:lang w:val="en-US"/>
        </w:rPr>
        <w:t>. Although I have succeeded in extending the work, I am still of the opinion that this is a very broad subject governed by many legislation, case-law and book publications.</w:t>
      </w:r>
    </w:p>
    <w:p w:rsidR="0044491D" w:rsidRDefault="00473F2C" w:rsidP="0044491D">
      <w:r>
        <w:rPr>
          <w:lang w:val="en-US"/>
        </w:rPr>
        <w:t>Thesis</w:t>
      </w:r>
      <w:r w:rsidR="0044491D">
        <w:rPr>
          <w:lang w:val="en-US"/>
        </w:rPr>
        <w:t xml:space="preserve"> is extended to the process and methods of implementing enforcement proceedings both species. Execution as an enforcement tool is constantly evolving. The development of the enforcement proceedings, which in this work again devoted, are included for understanding other historic landmarks including the adoption of a law on the activities of bailiffs, which is so crucial enforcement proceedings. In this thesis, I have tried to complete topics that were not included in the </w:t>
      </w:r>
      <w:r>
        <w:rPr>
          <w:lang w:val="en-US"/>
        </w:rPr>
        <w:t xml:space="preserve">bachelor </w:t>
      </w:r>
      <w:r w:rsidR="0044491D">
        <w:rPr>
          <w:lang w:val="en-US"/>
        </w:rPr>
        <w:t>thesis.</w:t>
      </w:r>
    </w:p>
    <w:p w:rsidR="0044491D" w:rsidRDefault="0044491D" w:rsidP="0044491D">
      <w:r>
        <w:t>F</w:t>
      </w:r>
      <w:r>
        <w:rPr>
          <w:lang w:val="en-US"/>
        </w:rPr>
        <w:t>or me personally, the most interesting and currently quite dramatic process is the introduction of the local jurisdiction of executors. Since I have had the opportunity to work with a bailiff leading a large and successful bailiff office, I am in favor of not establishing territoriality and remaining in the present state, which seems to me to be quite effective. Enforceability of receivables increases year by year, so I am not sure whether the introduction of territoriality would have the opposite effect.</w:t>
      </w:r>
    </w:p>
    <w:p w:rsidR="0044491D" w:rsidRDefault="00473F2C" w:rsidP="0044491D">
      <w:r>
        <w:rPr>
          <w:lang w:val="en-US"/>
        </w:rPr>
        <w:t>Attached in my opinion is</w:t>
      </w:r>
      <w:r w:rsidR="0044491D">
        <w:rPr>
          <w:lang w:val="en-US"/>
        </w:rPr>
        <w:t xml:space="preserve"> </w:t>
      </w:r>
      <w:r>
        <w:rPr>
          <w:lang w:val="en-US"/>
        </w:rPr>
        <w:t>quite</w:t>
      </w:r>
      <w:r w:rsidR="0044491D">
        <w:rPr>
          <w:lang w:val="en-US"/>
        </w:rPr>
        <w:t xml:space="preserve"> successful, but rather subjective interview with the court </w:t>
      </w:r>
      <w:r>
        <w:rPr>
          <w:lang w:val="en-US"/>
        </w:rPr>
        <w:t>bailiff</w:t>
      </w:r>
      <w:r w:rsidR="0044491D">
        <w:rPr>
          <w:lang w:val="en-US"/>
        </w:rPr>
        <w:t xml:space="preserve"> Mgr. Zuzana Sob</w:t>
      </w:r>
      <w:r w:rsidR="0044491D">
        <w:t>íšková</w:t>
      </w:r>
      <w:r w:rsidR="0044491D">
        <w:rPr>
          <w:lang w:val="en-US"/>
        </w:rPr>
        <w:t>, wh</w:t>
      </w:r>
      <w:r>
        <w:rPr>
          <w:lang w:val="en-US"/>
        </w:rPr>
        <w:t>ich</w:t>
      </w:r>
      <w:r w:rsidR="0044491D">
        <w:rPr>
          <w:lang w:val="en-US"/>
        </w:rPr>
        <w:t xml:space="preserve"> was used as a supplement for the bachelor thesis. In addition, the thesis is accompanied by arguments for and against the introduction of the territorial jurisdiction of the </w:t>
      </w:r>
      <w:r>
        <w:rPr>
          <w:lang w:val="en-US"/>
        </w:rPr>
        <w:t>bailiffs</w:t>
      </w:r>
      <w:r w:rsidR="0044491D">
        <w:rPr>
          <w:lang w:val="en-US"/>
        </w:rPr>
        <w:t xml:space="preserve"> and the abolition of the right of choice of the executor.</w:t>
      </w:r>
    </w:p>
    <w:p w:rsidR="0044491D" w:rsidRDefault="0044491D" w:rsidP="0044491D">
      <w:r>
        <w:rPr>
          <w:lang w:val="en-US"/>
        </w:rPr>
        <w:t>The issue of execution and debt recovery is an endless carousel. People are constantly in debt and subscribe to disadvantageous loans with even less favorable interest rates. Many people are unaware of the risks of borrowing and defaulting. As a result, the borrowers then find themselves in difficult life situations and their financial situation decreases to a subsistence minimum. In my opinion, legal advisory services accessible to the general public should be constantly improved. If legal awareness rises, many people will surely avoid failing to fulfill their obligations, leading to long and often endless. However, debtors need to communicate with executors or enforcement authorities. Communication and cooperation with enforcement authorities is a very positive step for the debtor to minimize interference with his property rights.</w:t>
      </w:r>
    </w:p>
    <w:p w:rsidR="0044491D" w:rsidRPr="0044491D" w:rsidRDefault="0044491D" w:rsidP="0044491D"/>
    <w:p w:rsidR="009B70FF" w:rsidRDefault="009B70FF" w:rsidP="009B70FF">
      <w:pPr>
        <w:spacing w:line="240" w:lineRule="auto"/>
        <w:rPr>
          <w:rStyle w:val="dn"/>
          <w:rFonts w:eastAsia="Cambria" w:cs="Cambria"/>
          <w:b/>
          <w:bCs/>
          <w:caps/>
          <w:sz w:val="28"/>
          <w:szCs w:val="28"/>
          <w:lang w:val="fr-FR"/>
        </w:rPr>
      </w:pPr>
      <w:r>
        <w:rPr>
          <w:rStyle w:val="dn"/>
          <w:lang w:val="fr-FR"/>
        </w:rPr>
        <w:br w:type="page"/>
      </w:r>
    </w:p>
    <w:p w:rsidR="009B70FF" w:rsidRDefault="009B70FF" w:rsidP="009B70FF">
      <w:pPr>
        <w:pStyle w:val="Nadpis1"/>
        <w:ind w:firstLine="0"/>
        <w:rPr>
          <w:rStyle w:val="dn"/>
          <w:color w:val="000000"/>
          <w:u w:color="000000"/>
        </w:rPr>
      </w:pPr>
      <w:bookmarkStart w:id="120" w:name="_Toc18276754"/>
      <w:bookmarkStart w:id="121" w:name="_Toc18313975"/>
      <w:r>
        <w:rPr>
          <w:rStyle w:val="dn"/>
          <w:color w:val="000000"/>
          <w:u w:color="000000"/>
          <w:lang w:val="fr-FR"/>
        </w:rPr>
        <w:t>Pou</w:t>
      </w:r>
      <w:r>
        <w:rPr>
          <w:rStyle w:val="dn"/>
          <w:color w:val="000000"/>
          <w:u w:color="000000"/>
        </w:rPr>
        <w:t>žit</w:t>
      </w:r>
      <w:r>
        <w:rPr>
          <w:rStyle w:val="dn"/>
          <w:color w:val="000000"/>
          <w:u w:color="000000"/>
          <w:lang w:val="fr-FR"/>
        </w:rPr>
        <w:t xml:space="preserve">é </w:t>
      </w:r>
      <w:r>
        <w:rPr>
          <w:rStyle w:val="dn"/>
          <w:color w:val="000000"/>
          <w:u w:color="000000"/>
        </w:rPr>
        <w:t>zdroje</w:t>
      </w:r>
      <w:bookmarkEnd w:id="118"/>
      <w:bookmarkEnd w:id="120"/>
      <w:bookmarkEnd w:id="121"/>
    </w:p>
    <w:p w:rsidR="009B70FF" w:rsidRPr="00D3290D" w:rsidRDefault="009B70FF" w:rsidP="00D3290D">
      <w:pPr>
        <w:pStyle w:val="Nadpis2"/>
        <w:ind w:firstLine="0"/>
        <w:rPr>
          <w:color w:val="000000"/>
          <w:u w:color="000000"/>
        </w:rPr>
      </w:pPr>
      <w:bookmarkStart w:id="122" w:name="_Toc40"/>
      <w:bookmarkStart w:id="123" w:name="_Toc18276755"/>
      <w:bookmarkStart w:id="124" w:name="_Toc18313976"/>
      <w:r>
        <w:rPr>
          <w:rStyle w:val="dn"/>
          <w:color w:val="000000"/>
          <w:u w:color="000000"/>
          <w:lang w:val="de-DE"/>
        </w:rPr>
        <w:t>Literatura</w:t>
      </w:r>
      <w:bookmarkEnd w:id="122"/>
      <w:bookmarkEnd w:id="123"/>
      <w:bookmarkEnd w:id="124"/>
    </w:p>
    <w:p w:rsidR="00D3290D" w:rsidRDefault="00D3290D" w:rsidP="00D3290D">
      <w:pPr>
        <w:pBdr>
          <w:top w:val="nil"/>
          <w:left w:val="nil"/>
          <w:bottom w:val="nil"/>
          <w:right w:val="nil"/>
          <w:between w:val="nil"/>
          <w:bar w:val="nil"/>
        </w:pBdr>
        <w:spacing w:before="0"/>
        <w:ind w:firstLine="0"/>
        <w:rPr>
          <w:rFonts w:eastAsia="Calibri" w:cs="Times New Roman"/>
          <w:color w:val="000000"/>
          <w:szCs w:val="24"/>
          <w:u w:color="000000"/>
          <w:bdr w:val="nil"/>
          <w:lang w:eastAsia="cs-CZ"/>
        </w:rPr>
      </w:pPr>
      <w:r w:rsidRPr="00D3290D">
        <w:rPr>
          <w:rFonts w:eastAsia="Calibri" w:cs="Times New Roman"/>
          <w:color w:val="000000"/>
          <w:szCs w:val="24"/>
          <w:u w:color="000000"/>
          <w:bdr w:val="nil"/>
          <w:lang w:val="es-ES_tradnl" w:eastAsia="cs-CZ"/>
        </w:rPr>
        <w:t xml:space="preserve">GAIUS. </w:t>
      </w:r>
      <w:r w:rsidRPr="00D3290D">
        <w:rPr>
          <w:rFonts w:eastAsia="Calibri" w:cs="Times New Roman"/>
          <w:i/>
          <w:iCs/>
          <w:color w:val="000000"/>
          <w:szCs w:val="24"/>
          <w:u w:color="000000"/>
          <w:bdr w:val="nil"/>
          <w:lang w:eastAsia="cs-CZ"/>
        </w:rPr>
        <w:t>Učebnice práva ve č</w:t>
      </w:r>
      <w:r w:rsidRPr="00D3290D">
        <w:rPr>
          <w:rFonts w:eastAsia="Calibri" w:cs="Times New Roman"/>
          <w:i/>
          <w:iCs/>
          <w:color w:val="000000"/>
          <w:szCs w:val="24"/>
          <w:u w:color="000000"/>
          <w:bdr w:val="nil"/>
          <w:lang w:val="en-US" w:eastAsia="cs-CZ"/>
        </w:rPr>
        <w:t>ty</w:t>
      </w:r>
      <w:r w:rsidRPr="00D3290D">
        <w:rPr>
          <w:rFonts w:eastAsia="Calibri" w:cs="Times New Roman"/>
          <w:i/>
          <w:iCs/>
          <w:color w:val="000000"/>
          <w:szCs w:val="24"/>
          <w:u w:color="000000"/>
          <w:bdr w:val="nil"/>
          <w:lang w:eastAsia="cs-CZ"/>
        </w:rPr>
        <w:t>řech knihách</w:t>
      </w:r>
      <w:r w:rsidRPr="00D3290D">
        <w:rPr>
          <w:rFonts w:eastAsia="Calibri" w:cs="Times New Roman"/>
          <w:color w:val="000000"/>
          <w:szCs w:val="24"/>
          <w:u w:color="000000"/>
          <w:bdr w:val="nil"/>
          <w:lang w:eastAsia="cs-CZ"/>
        </w:rPr>
        <w:t>. Přeložil Jaromír KINCL. Plzeň: Vydavatelství a nakladatelství Aleš Čeněk, 2007. ISBN 978-80-7380-054-3.</w:t>
      </w:r>
    </w:p>
    <w:p w:rsidR="00D3290D" w:rsidRPr="00D3290D" w:rsidRDefault="00D3290D" w:rsidP="00D3290D">
      <w:pPr>
        <w:pBdr>
          <w:top w:val="nil"/>
          <w:left w:val="nil"/>
          <w:bottom w:val="nil"/>
          <w:right w:val="nil"/>
          <w:between w:val="nil"/>
          <w:bar w:val="nil"/>
        </w:pBdr>
        <w:spacing w:before="0"/>
        <w:ind w:firstLine="0"/>
        <w:rPr>
          <w:rFonts w:eastAsia="Calibri"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val="de-DE" w:eastAsia="cs-CZ"/>
        </w:rPr>
        <w:t>HENDRYCH, Du</w:t>
      </w:r>
      <w:r w:rsidRPr="00D3290D">
        <w:rPr>
          <w:rFonts w:eastAsia="Arial Unicode MS" w:cs="Times New Roman"/>
          <w:color w:val="000000"/>
          <w:szCs w:val="24"/>
          <w:u w:color="000000"/>
          <w:bdr w:val="nil"/>
          <w:lang w:eastAsia="cs-CZ"/>
        </w:rPr>
        <w:t xml:space="preserve">šan. </w:t>
      </w:r>
      <w:r w:rsidRPr="00D3290D">
        <w:rPr>
          <w:rFonts w:eastAsia="Arial Unicode MS" w:cs="Times New Roman"/>
          <w:i/>
          <w:iCs/>
          <w:color w:val="000000"/>
          <w:szCs w:val="24"/>
          <w:u w:color="000000"/>
          <w:bdr w:val="nil"/>
          <w:lang w:val="de-DE" w:eastAsia="cs-CZ"/>
        </w:rPr>
        <w:t>Spr</w:t>
      </w:r>
      <w:r w:rsidRPr="00D3290D">
        <w:rPr>
          <w:rFonts w:eastAsia="Arial Unicode MS" w:cs="Times New Roman"/>
          <w:i/>
          <w:iCs/>
          <w:color w:val="000000"/>
          <w:szCs w:val="24"/>
          <w:u w:color="000000"/>
          <w:bdr w:val="nil"/>
          <w:lang w:eastAsia="cs-CZ"/>
        </w:rPr>
        <w:t>ávní právo: obecná část</w:t>
      </w:r>
      <w:r w:rsidRPr="00D3290D">
        <w:rPr>
          <w:rFonts w:eastAsia="Arial Unicode MS" w:cs="Times New Roman"/>
          <w:color w:val="000000"/>
          <w:szCs w:val="24"/>
          <w:u w:color="000000"/>
          <w:bdr w:val="nil"/>
          <w:lang w:eastAsia="cs-CZ"/>
        </w:rPr>
        <w:t>. 8. vyd. V Praze: C. H. Beck, 2012, xxxiv, 792 s. Beckovy právnick</w:t>
      </w:r>
      <w:r w:rsidRPr="00D3290D">
        <w:rPr>
          <w:rFonts w:eastAsia="Arial Unicode MS" w:cs="Times New Roman"/>
          <w:color w:val="000000"/>
          <w:szCs w:val="24"/>
          <w:u w:color="000000"/>
          <w:bdr w:val="nil"/>
          <w:lang w:val="fr-FR" w:eastAsia="cs-CZ"/>
        </w:rPr>
        <w:t xml:space="preserve">é </w:t>
      </w:r>
      <w:r w:rsidRPr="00D3290D">
        <w:rPr>
          <w:rFonts w:eastAsia="Arial Unicode MS" w:cs="Times New Roman"/>
          <w:color w:val="000000"/>
          <w:szCs w:val="24"/>
          <w:u w:color="000000"/>
          <w:bdr w:val="nil"/>
          <w:lang w:eastAsia="cs-CZ"/>
        </w:rPr>
        <w:t>učebnice. ISBN: 978-80-7179-254-3.</w:t>
      </w:r>
    </w:p>
    <w:p w:rsidR="001A622A" w:rsidRDefault="001A622A" w:rsidP="00D3290D">
      <w:pPr>
        <w:pBdr>
          <w:top w:val="nil"/>
          <w:left w:val="nil"/>
          <w:bottom w:val="nil"/>
          <w:right w:val="nil"/>
          <w:between w:val="nil"/>
          <w:bar w:val="nil"/>
        </w:pBdr>
        <w:spacing w:before="0"/>
        <w:ind w:firstLine="0"/>
        <w:rPr>
          <w:rFonts w:cs="Times New Roman"/>
          <w:sz w:val="20"/>
          <w:szCs w:val="20"/>
        </w:rPr>
      </w:pPr>
    </w:p>
    <w:p w:rsidR="001A622A" w:rsidRPr="001A622A" w:rsidRDefault="001A622A"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1A622A">
        <w:rPr>
          <w:rStyle w:val="dn"/>
          <w:rFonts w:cs="Times New Roman"/>
          <w:szCs w:val="24"/>
        </w:rPr>
        <w:t>KASÍKOVÁ</w:t>
      </w:r>
      <w:r w:rsidRPr="001A622A">
        <w:rPr>
          <w:rStyle w:val="dn"/>
          <w:rFonts w:cs="Times New Roman"/>
          <w:szCs w:val="24"/>
          <w:lang w:val="de-DE"/>
        </w:rPr>
        <w:t>, Martina, JIRMANOV</w:t>
      </w:r>
      <w:r w:rsidRPr="001A622A">
        <w:rPr>
          <w:rStyle w:val="dn"/>
          <w:rFonts w:cs="Times New Roman"/>
          <w:szCs w:val="24"/>
        </w:rPr>
        <w:t>Á, Miroslava, HUBÁČEK, Jaroslav, PLÁŠIL, Vladimír, Š</w:t>
      </w:r>
      <w:r w:rsidRPr="001A622A">
        <w:rPr>
          <w:rStyle w:val="dn"/>
          <w:rFonts w:cs="Times New Roman"/>
          <w:szCs w:val="24"/>
          <w:lang w:val="de-DE"/>
        </w:rPr>
        <w:t>IMKA, Karel, KU</w:t>
      </w:r>
      <w:r w:rsidRPr="001A622A">
        <w:rPr>
          <w:rStyle w:val="dn"/>
          <w:rFonts w:cs="Times New Roman"/>
          <w:szCs w:val="24"/>
        </w:rPr>
        <w:t>ČERA, Zdeně</w:t>
      </w:r>
      <w:r w:rsidRPr="001A622A">
        <w:rPr>
          <w:rStyle w:val="dn"/>
          <w:rFonts w:cs="Times New Roman"/>
          <w:szCs w:val="24"/>
          <w:lang w:val="de-DE"/>
        </w:rPr>
        <w:t>k, NEKOLA, V</w:t>
      </w:r>
      <w:r w:rsidRPr="001A622A">
        <w:rPr>
          <w:rStyle w:val="dn"/>
          <w:rFonts w:cs="Times New Roman"/>
          <w:szCs w:val="24"/>
        </w:rPr>
        <w:t xml:space="preserve">áclav. </w:t>
      </w:r>
      <w:r w:rsidRPr="001A622A">
        <w:rPr>
          <w:rStyle w:val="dn"/>
          <w:rFonts w:cs="Times New Roman"/>
          <w:i/>
          <w:szCs w:val="24"/>
        </w:rPr>
        <w:t>Exekuční řád.</w:t>
      </w:r>
      <w:r w:rsidRPr="001A622A">
        <w:rPr>
          <w:rStyle w:val="dn"/>
          <w:rFonts w:cs="Times New Roman"/>
          <w:szCs w:val="24"/>
        </w:rPr>
        <w:t xml:space="preserve"> 4. vydání. Praha: Nakladatelství </w:t>
      </w:r>
      <w:r w:rsidRPr="001A622A">
        <w:rPr>
          <w:rStyle w:val="dn"/>
          <w:rFonts w:cs="Times New Roman"/>
          <w:szCs w:val="24"/>
          <w:lang w:val="pt-PT"/>
        </w:rPr>
        <w:t>C. H. Beck, 2017, s. 1168, ISBN: 978-80-7400-630-2</w:t>
      </w:r>
    </w:p>
    <w:p w:rsidR="005C706D" w:rsidRDefault="005C706D" w:rsidP="00D3290D">
      <w:pPr>
        <w:pBdr>
          <w:top w:val="nil"/>
          <w:left w:val="nil"/>
          <w:bottom w:val="nil"/>
          <w:right w:val="nil"/>
          <w:between w:val="nil"/>
          <w:bar w:val="nil"/>
        </w:pBdr>
        <w:spacing w:before="0"/>
        <w:ind w:firstLine="0"/>
        <w:jc w:val="left"/>
        <w:rPr>
          <w:rFonts w:eastAsia="Calibri" w:cs="Times New Roman"/>
          <w:color w:val="000000"/>
          <w:szCs w:val="24"/>
          <w:u w:color="000000"/>
          <w:bdr w:val="nil"/>
          <w:lang w:eastAsia="cs-CZ"/>
        </w:rPr>
      </w:pPr>
    </w:p>
    <w:p w:rsidR="005C706D" w:rsidRPr="005C706D" w:rsidRDefault="005C706D" w:rsidP="00D3290D">
      <w:pPr>
        <w:pBdr>
          <w:top w:val="nil"/>
          <w:left w:val="nil"/>
          <w:bottom w:val="nil"/>
          <w:right w:val="nil"/>
          <w:between w:val="nil"/>
          <w:bar w:val="nil"/>
        </w:pBdr>
        <w:spacing w:before="0"/>
        <w:ind w:firstLine="0"/>
        <w:jc w:val="left"/>
        <w:rPr>
          <w:rFonts w:eastAsia="Calibri" w:cs="Times New Roman"/>
          <w:color w:val="000000"/>
          <w:szCs w:val="24"/>
          <w:u w:color="000000"/>
          <w:bdr w:val="nil"/>
          <w:lang w:eastAsia="cs-CZ"/>
        </w:rPr>
      </w:pPr>
      <w:r w:rsidRPr="005C706D">
        <w:rPr>
          <w:rFonts w:cs="Times New Roman"/>
          <w:szCs w:val="24"/>
          <w:lang w:val="nl-NL"/>
        </w:rPr>
        <w:t>LICHNOVSK</w:t>
      </w:r>
      <w:r w:rsidRPr="005C706D">
        <w:rPr>
          <w:rFonts w:cs="Times New Roman"/>
          <w:szCs w:val="24"/>
        </w:rPr>
        <w:t>Ý</w:t>
      </w:r>
      <w:r w:rsidRPr="005C706D">
        <w:rPr>
          <w:rFonts w:cs="Times New Roman"/>
          <w:szCs w:val="24"/>
          <w:lang w:val="nl-NL"/>
        </w:rPr>
        <w:t>, Ond</w:t>
      </w:r>
      <w:r w:rsidRPr="005C706D">
        <w:rPr>
          <w:rFonts w:cs="Times New Roman"/>
          <w:szCs w:val="24"/>
        </w:rPr>
        <w:t>řej, ONDRÝ</w:t>
      </w:r>
      <w:r w:rsidRPr="005C706D">
        <w:rPr>
          <w:rFonts w:cs="Times New Roman"/>
          <w:szCs w:val="24"/>
          <w:lang w:val="nl-NL"/>
        </w:rPr>
        <w:t>SEK, Roman, NOV</w:t>
      </w:r>
      <w:r w:rsidRPr="005C706D">
        <w:rPr>
          <w:rFonts w:cs="Times New Roman"/>
          <w:szCs w:val="24"/>
        </w:rPr>
        <w:t>ÁKOVÁ</w:t>
      </w:r>
      <w:r w:rsidRPr="005C706D">
        <w:rPr>
          <w:rFonts w:cs="Times New Roman"/>
          <w:szCs w:val="24"/>
          <w:lang w:val="de-DE"/>
        </w:rPr>
        <w:t>, Petra, KOSTOLANSK</w:t>
      </w:r>
      <w:r w:rsidRPr="005C706D">
        <w:rPr>
          <w:rFonts w:cs="Times New Roman"/>
          <w:szCs w:val="24"/>
        </w:rPr>
        <w:t xml:space="preserve">Á, Eva, ROZEHNAL, Tomáš. </w:t>
      </w:r>
      <w:r w:rsidRPr="001A622A">
        <w:rPr>
          <w:rFonts w:cs="Times New Roman"/>
          <w:i/>
          <w:szCs w:val="24"/>
        </w:rPr>
        <w:t>Daňový řád</w:t>
      </w:r>
      <w:r w:rsidRPr="005C706D">
        <w:rPr>
          <w:rFonts w:cs="Times New Roman"/>
          <w:szCs w:val="24"/>
        </w:rPr>
        <w:t xml:space="preserve">. 3. vydání. Praha: Nakladatelství </w:t>
      </w:r>
      <w:r w:rsidRPr="005C706D">
        <w:rPr>
          <w:rFonts w:cs="Times New Roman"/>
          <w:szCs w:val="24"/>
          <w:lang w:val="pt-PT"/>
        </w:rPr>
        <w:t>C. H. Beck, 2016, ISBN: 978-80-7400-604-3</w:t>
      </w:r>
    </w:p>
    <w:p w:rsidR="00D3290D" w:rsidRPr="00D3290D" w:rsidRDefault="00D3290D" w:rsidP="00D3290D">
      <w:pPr>
        <w:pBdr>
          <w:top w:val="nil"/>
          <w:left w:val="nil"/>
          <w:bottom w:val="nil"/>
          <w:right w:val="nil"/>
          <w:between w:val="nil"/>
          <w:bar w:val="nil"/>
        </w:pBdr>
        <w:spacing w:before="0"/>
        <w:ind w:firstLine="0"/>
        <w:jc w:val="left"/>
        <w:rPr>
          <w:rFonts w:eastAsia="Times New Roman"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jc w:val="left"/>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val="de-DE" w:eastAsia="cs-CZ"/>
        </w:rPr>
        <w:t>SCHELLEOV</w:t>
      </w:r>
      <w:r w:rsidRPr="00D3290D">
        <w:rPr>
          <w:rFonts w:eastAsia="Arial Unicode MS" w:cs="Times New Roman"/>
          <w:color w:val="000000"/>
          <w:szCs w:val="24"/>
          <w:u w:color="000000"/>
          <w:bdr w:val="nil"/>
          <w:lang w:eastAsia="cs-CZ"/>
        </w:rPr>
        <w:t xml:space="preserve">Á, Ilona, Dr. a kolektiv, </w:t>
      </w:r>
      <w:r w:rsidRPr="00D3290D">
        <w:rPr>
          <w:rFonts w:eastAsia="Arial Unicode MS" w:cs="Times New Roman"/>
          <w:i/>
          <w:iCs/>
          <w:color w:val="000000"/>
          <w:szCs w:val="24"/>
          <w:u w:color="000000"/>
          <w:bdr w:val="nil"/>
          <w:lang w:eastAsia="cs-CZ"/>
        </w:rPr>
        <w:t>Exekuční řízení</w:t>
      </w:r>
      <w:r w:rsidRPr="00D3290D">
        <w:rPr>
          <w:rFonts w:eastAsia="Arial Unicode MS" w:cs="Times New Roman"/>
          <w:color w:val="000000"/>
          <w:szCs w:val="24"/>
          <w:u w:color="000000"/>
          <w:bdr w:val="nil"/>
          <w:lang w:eastAsia="cs-CZ"/>
        </w:rPr>
        <w:t xml:space="preserve">, EUROLEX BOHEMIA s.r.o., Praha 1, 2005, ISBN: 80-86861-46-5 </w:t>
      </w:r>
    </w:p>
    <w:p w:rsidR="00D3290D" w:rsidRPr="00D3290D" w:rsidRDefault="00D3290D" w:rsidP="00D3290D">
      <w:pPr>
        <w:pBdr>
          <w:top w:val="nil"/>
          <w:left w:val="nil"/>
          <w:bottom w:val="nil"/>
          <w:right w:val="nil"/>
          <w:between w:val="nil"/>
          <w:bar w:val="nil"/>
        </w:pBdr>
        <w:spacing w:before="0"/>
        <w:ind w:firstLine="0"/>
        <w:jc w:val="left"/>
        <w:rPr>
          <w:rFonts w:eastAsia="Arial Unicode MS"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val="en-US" w:eastAsia="cs-CZ"/>
        </w:rPr>
      </w:pPr>
      <w:r w:rsidRPr="00D3290D">
        <w:rPr>
          <w:rFonts w:eastAsia="Arial Unicode MS" w:cs="Times New Roman"/>
          <w:color w:val="000000"/>
          <w:szCs w:val="24"/>
          <w:u w:color="000000"/>
          <w:bdr w:val="nil"/>
          <w:lang w:val="de-DE" w:eastAsia="cs-CZ"/>
        </w:rPr>
        <w:t>SCHELLEOV</w:t>
      </w:r>
      <w:r w:rsidRPr="00D3290D">
        <w:rPr>
          <w:rFonts w:eastAsia="Arial Unicode MS" w:cs="Times New Roman"/>
          <w:color w:val="000000"/>
          <w:szCs w:val="24"/>
          <w:u w:color="000000"/>
          <w:bdr w:val="nil"/>
          <w:lang w:eastAsia="cs-CZ"/>
        </w:rPr>
        <w:t xml:space="preserve">Á, Ilona a kolektiv, </w:t>
      </w:r>
      <w:r w:rsidRPr="00D3290D">
        <w:rPr>
          <w:rFonts w:eastAsia="Arial Unicode MS" w:cs="Times New Roman"/>
          <w:i/>
          <w:iCs/>
          <w:color w:val="000000"/>
          <w:szCs w:val="24"/>
          <w:u w:color="000000"/>
          <w:bdr w:val="nil"/>
          <w:lang w:eastAsia="cs-CZ"/>
        </w:rPr>
        <w:t>Exekuce</w:t>
      </w:r>
      <w:r w:rsidRPr="00D3290D">
        <w:rPr>
          <w:rFonts w:eastAsia="Arial Unicode MS" w:cs="Times New Roman"/>
          <w:color w:val="000000"/>
          <w:szCs w:val="24"/>
          <w:u w:color="000000"/>
          <w:bdr w:val="nil"/>
          <w:lang w:val="en-US" w:eastAsia="cs-CZ"/>
        </w:rPr>
        <w:t>, KEY Publishing s.r.o., Ostrava 2008, ISBN: 978-80-87071-91-5</w:t>
      </w:r>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jc w:val="left"/>
        <w:rPr>
          <w:rFonts w:eastAsia="Calibri" w:cs="Times New Roman"/>
          <w:color w:val="000000"/>
          <w:szCs w:val="24"/>
          <w:u w:color="000000"/>
          <w:bdr w:val="nil"/>
          <w:lang w:eastAsia="cs-CZ"/>
        </w:rPr>
      </w:pPr>
      <w:r w:rsidRPr="00D3290D">
        <w:rPr>
          <w:rFonts w:eastAsia="Calibri" w:cs="Times New Roman"/>
          <w:color w:val="000000"/>
          <w:szCs w:val="24"/>
          <w:u w:color="000000"/>
          <w:bdr w:val="nil"/>
          <w:lang w:eastAsia="cs-CZ"/>
        </w:rPr>
        <w:t xml:space="preserve">SKŘEJPEK, Michal. </w:t>
      </w:r>
      <w:r w:rsidRPr="00D3290D">
        <w:rPr>
          <w:rFonts w:eastAsia="Calibri" w:cs="Times New Roman"/>
          <w:i/>
          <w:iCs/>
          <w:color w:val="000000"/>
          <w:szCs w:val="24"/>
          <w:u w:color="000000"/>
          <w:bdr w:val="nil"/>
          <w:lang w:eastAsia="cs-CZ"/>
        </w:rPr>
        <w:t>Texty ke studiu římsk</w:t>
      </w:r>
      <w:r w:rsidRPr="00D3290D">
        <w:rPr>
          <w:rFonts w:eastAsia="Calibri" w:cs="Times New Roman"/>
          <w:i/>
          <w:iCs/>
          <w:color w:val="000000"/>
          <w:szCs w:val="24"/>
          <w:u w:color="000000"/>
          <w:bdr w:val="nil"/>
          <w:lang w:val="fr-FR" w:eastAsia="cs-CZ"/>
        </w:rPr>
        <w:t>é</w:t>
      </w:r>
      <w:r w:rsidRPr="00D3290D">
        <w:rPr>
          <w:rFonts w:eastAsia="Calibri" w:cs="Times New Roman"/>
          <w:i/>
          <w:iCs/>
          <w:color w:val="000000"/>
          <w:szCs w:val="24"/>
          <w:u w:color="000000"/>
          <w:bdr w:val="nil"/>
          <w:lang w:eastAsia="cs-CZ"/>
        </w:rPr>
        <w:t>ho práva</w:t>
      </w:r>
      <w:r w:rsidRPr="00D3290D">
        <w:rPr>
          <w:rFonts w:eastAsia="Calibri" w:cs="Times New Roman"/>
          <w:color w:val="000000"/>
          <w:szCs w:val="24"/>
          <w:u w:color="000000"/>
          <w:bdr w:val="nil"/>
          <w:lang w:eastAsia="cs-CZ"/>
        </w:rPr>
        <w:t>. Praha: Orac, 2001. Výběrov</w:t>
      </w:r>
      <w:r w:rsidRPr="00D3290D">
        <w:rPr>
          <w:rFonts w:eastAsia="Calibri" w:cs="Times New Roman"/>
          <w:color w:val="000000"/>
          <w:szCs w:val="24"/>
          <w:u w:color="000000"/>
          <w:bdr w:val="nil"/>
          <w:lang w:val="fr-FR" w:eastAsia="cs-CZ"/>
        </w:rPr>
        <w:t xml:space="preserve">é </w:t>
      </w:r>
      <w:r w:rsidRPr="00D3290D">
        <w:rPr>
          <w:rFonts w:eastAsia="Calibri" w:cs="Times New Roman"/>
          <w:color w:val="000000"/>
          <w:szCs w:val="24"/>
          <w:u w:color="000000"/>
          <w:bdr w:val="nil"/>
          <w:lang w:eastAsia="cs-CZ"/>
        </w:rPr>
        <w:t>texty. ISBN 80-86199-32-0.</w:t>
      </w:r>
    </w:p>
    <w:p w:rsidR="00D3290D" w:rsidRPr="00D3290D" w:rsidRDefault="00D3290D" w:rsidP="00D3290D">
      <w:pPr>
        <w:pBdr>
          <w:top w:val="nil"/>
          <w:left w:val="nil"/>
          <w:bottom w:val="nil"/>
          <w:right w:val="nil"/>
          <w:between w:val="nil"/>
          <w:bar w:val="nil"/>
        </w:pBdr>
        <w:spacing w:before="0"/>
        <w:ind w:firstLine="0"/>
        <w:jc w:val="left"/>
        <w:rPr>
          <w:rFonts w:eastAsia="Calibri"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rPr>
          <w:rFonts w:eastAsia="Calibri" w:cs="Times New Roman"/>
          <w:color w:val="000000"/>
          <w:szCs w:val="24"/>
          <w:u w:color="000000"/>
          <w:bdr w:val="nil"/>
          <w:lang w:eastAsia="cs-CZ"/>
        </w:rPr>
      </w:pPr>
      <w:r w:rsidRPr="00D3290D">
        <w:rPr>
          <w:rFonts w:eastAsia="Calibri" w:cs="Times New Roman"/>
          <w:color w:val="000000"/>
          <w:szCs w:val="24"/>
          <w:u w:color="000000"/>
          <w:bdr w:val="nil"/>
          <w:lang w:eastAsia="cs-CZ"/>
        </w:rPr>
        <w:t>SKULOVÁ, Soňa. Správní právo procesní. 2., upr. vyd. Plzeň: Vydavatelství a nakladatelství Aleš Čeněk, 2012. s. 293, ISBN 978-80-7380-414-5.</w:t>
      </w:r>
    </w:p>
    <w:p w:rsidR="00D3290D" w:rsidRPr="00D3290D" w:rsidRDefault="00D3290D" w:rsidP="00D3290D">
      <w:pPr>
        <w:pBdr>
          <w:top w:val="nil"/>
          <w:left w:val="nil"/>
          <w:bottom w:val="nil"/>
          <w:right w:val="nil"/>
          <w:between w:val="nil"/>
          <w:bar w:val="nil"/>
        </w:pBdr>
        <w:spacing w:before="0"/>
        <w:ind w:firstLine="0"/>
        <w:rPr>
          <w:rFonts w:eastAsia="Calibri"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jc w:val="left"/>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val="pt-PT" w:eastAsia="cs-CZ"/>
        </w:rPr>
        <w:t>TRIPES, Anton</w:t>
      </w:r>
      <w:r w:rsidRPr="00D3290D">
        <w:rPr>
          <w:rFonts w:eastAsia="Arial Unicode MS" w:cs="Times New Roman"/>
          <w:color w:val="000000"/>
          <w:szCs w:val="24"/>
          <w:u w:color="000000"/>
          <w:bdr w:val="nil"/>
          <w:lang w:eastAsia="cs-CZ"/>
        </w:rPr>
        <w:t xml:space="preserve">ín, </w:t>
      </w:r>
      <w:r w:rsidRPr="00D3290D">
        <w:rPr>
          <w:rFonts w:eastAsia="Arial Unicode MS" w:cs="Times New Roman"/>
          <w:i/>
          <w:iCs/>
          <w:color w:val="000000"/>
          <w:szCs w:val="24"/>
          <w:u w:color="000000"/>
          <w:bdr w:val="nil"/>
          <w:lang w:eastAsia="cs-CZ"/>
        </w:rPr>
        <w:t>Exekuce v soudní praxi</w:t>
      </w:r>
      <w:r w:rsidRPr="00D3290D">
        <w:rPr>
          <w:rFonts w:eastAsia="Arial Unicode MS" w:cs="Times New Roman"/>
          <w:color w:val="000000"/>
          <w:szCs w:val="24"/>
          <w:u w:color="000000"/>
          <w:bdr w:val="nil"/>
          <w:lang w:eastAsia="cs-CZ"/>
        </w:rPr>
        <w:t xml:space="preserve">, 3. Vydání, C.H. Beck, Praha, 2006, ISBN: 80-7179-489-9 </w:t>
      </w:r>
    </w:p>
    <w:p w:rsidR="00D3290D" w:rsidRPr="00D3290D" w:rsidRDefault="00D3290D" w:rsidP="00D3290D">
      <w:pPr>
        <w:pBdr>
          <w:top w:val="nil"/>
          <w:left w:val="nil"/>
          <w:bottom w:val="nil"/>
          <w:right w:val="nil"/>
          <w:between w:val="nil"/>
          <w:bar w:val="nil"/>
        </w:pBdr>
        <w:spacing w:before="0"/>
        <w:ind w:firstLine="0"/>
        <w:jc w:val="left"/>
        <w:rPr>
          <w:rFonts w:eastAsia="Arial Unicode MS" w:cs="Times New Roman"/>
          <w:color w:val="000000"/>
          <w:szCs w:val="24"/>
          <w:u w:color="000000"/>
          <w:bdr w:val="nil"/>
          <w:lang w:eastAsia="cs-CZ"/>
        </w:rPr>
      </w:pPr>
    </w:p>
    <w:p w:rsid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val="en-US" w:eastAsia="cs-CZ"/>
        </w:rPr>
        <w:t>WINTEROV</w:t>
      </w:r>
      <w:r w:rsidRPr="00D3290D">
        <w:rPr>
          <w:rFonts w:eastAsia="Arial Unicode MS" w:cs="Times New Roman"/>
          <w:color w:val="000000"/>
          <w:szCs w:val="24"/>
          <w:u w:color="000000"/>
          <w:bdr w:val="nil"/>
          <w:lang w:eastAsia="cs-CZ"/>
        </w:rPr>
        <w:t>Á</w:t>
      </w:r>
      <w:r w:rsidRPr="00D3290D">
        <w:rPr>
          <w:rFonts w:eastAsia="Arial Unicode MS" w:cs="Times New Roman"/>
          <w:color w:val="000000"/>
          <w:szCs w:val="24"/>
          <w:u w:color="000000"/>
          <w:bdr w:val="nil"/>
          <w:lang w:val="pt-PT" w:eastAsia="cs-CZ"/>
        </w:rPr>
        <w:t xml:space="preserve">, Alena. </w:t>
      </w:r>
      <w:r w:rsidRPr="00D3290D">
        <w:rPr>
          <w:rFonts w:eastAsia="Arial Unicode MS" w:cs="Times New Roman"/>
          <w:i/>
          <w:iCs/>
          <w:color w:val="000000"/>
          <w:szCs w:val="24"/>
          <w:u w:color="000000"/>
          <w:bdr w:val="nil"/>
          <w:lang w:eastAsia="cs-CZ"/>
        </w:rPr>
        <w:t>Civilní právo procesní: vysokoškolská učebnice</w:t>
      </w:r>
      <w:r w:rsidRPr="00D3290D">
        <w:rPr>
          <w:rFonts w:eastAsia="Arial Unicode MS" w:cs="Times New Roman"/>
          <w:color w:val="000000"/>
          <w:szCs w:val="24"/>
          <w:u w:color="000000"/>
          <w:bdr w:val="nil"/>
          <w:lang w:eastAsia="cs-CZ"/>
        </w:rPr>
        <w:t xml:space="preserve">. 6., aktualiz. vyd. Praha: Linde Praha, 2011, 711 s. ISBN 978-80-7201-842-0. </w:t>
      </w:r>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p>
    <w:p w:rsidR="009B70FF" w:rsidRPr="001A622A" w:rsidRDefault="00D3290D" w:rsidP="001A622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0"/>
        <w:jc w:val="left"/>
        <w:rPr>
          <w:rStyle w:val="dn"/>
          <w:rFonts w:eastAsia="Times New Roman" w:cs="Times New Roman"/>
          <w:color w:val="000000"/>
          <w:szCs w:val="24"/>
          <w:bdr w:val="nil"/>
          <w:shd w:val="clear" w:color="auto" w:fill="FFFFFF"/>
          <w:lang w:eastAsia="cs-CZ"/>
        </w:rPr>
      </w:pPr>
      <w:r w:rsidRPr="00D3290D">
        <w:rPr>
          <w:rFonts w:eastAsia="Arial Unicode MS" w:cs="Times New Roman"/>
          <w:color w:val="000000"/>
          <w:szCs w:val="24"/>
          <w:bdr w:val="nil"/>
          <w:shd w:val="clear" w:color="auto" w:fill="FFFFFF"/>
          <w:lang w:eastAsia="cs-CZ"/>
        </w:rPr>
        <w:t>WOLFOVÁ, Jitka a Martin Š</w:t>
      </w:r>
      <w:r w:rsidRPr="00D3290D">
        <w:rPr>
          <w:rFonts w:eastAsia="Arial Unicode MS" w:cs="Times New Roman"/>
          <w:color w:val="000000"/>
          <w:szCs w:val="24"/>
          <w:bdr w:val="nil"/>
          <w:shd w:val="clear" w:color="auto" w:fill="FFFFFF"/>
          <w:lang w:val="de-DE" w:eastAsia="cs-CZ"/>
        </w:rPr>
        <w:t xml:space="preserve">TIKA. </w:t>
      </w:r>
      <w:r w:rsidRPr="00D3290D">
        <w:rPr>
          <w:rFonts w:eastAsia="Arial Unicode MS" w:cs="Times New Roman"/>
          <w:i/>
          <w:iCs/>
          <w:color w:val="000000"/>
          <w:szCs w:val="24"/>
          <w:bdr w:val="nil"/>
          <w:shd w:val="clear" w:color="auto" w:fill="FFFFFF"/>
          <w:lang w:eastAsia="cs-CZ"/>
        </w:rPr>
        <w:t>Soudní exekuce</w:t>
      </w:r>
      <w:r w:rsidRPr="00D3290D">
        <w:rPr>
          <w:rFonts w:eastAsia="Arial Unicode MS" w:cs="Times New Roman"/>
          <w:color w:val="000000"/>
          <w:szCs w:val="24"/>
          <w:bdr w:val="nil"/>
          <w:shd w:val="clear" w:color="auto" w:fill="FFFFFF"/>
          <w:lang w:eastAsia="cs-CZ"/>
        </w:rPr>
        <w:t xml:space="preserve">. Praha: Wolters Kluwer, 2016. Právní </w:t>
      </w:r>
      <w:r w:rsidRPr="00D3290D">
        <w:rPr>
          <w:rFonts w:eastAsia="Arial Unicode MS" w:cs="Times New Roman"/>
          <w:color w:val="000000"/>
          <w:szCs w:val="24"/>
          <w:bdr w:val="nil"/>
          <w:shd w:val="clear" w:color="auto" w:fill="FFFFFF"/>
          <w:lang w:val="de-DE" w:eastAsia="cs-CZ"/>
        </w:rPr>
        <w:t xml:space="preserve">monografie (Wolters Kluwer </w:t>
      </w:r>
      <w:r w:rsidRPr="00D3290D">
        <w:rPr>
          <w:rFonts w:eastAsia="Arial Unicode MS" w:cs="Times New Roman"/>
          <w:color w:val="000000"/>
          <w:szCs w:val="24"/>
          <w:bdr w:val="nil"/>
          <w:shd w:val="clear" w:color="auto" w:fill="FFFFFF"/>
          <w:lang w:eastAsia="cs-CZ"/>
        </w:rPr>
        <w:t>ČR). ISBN 978-80-7552-427-0.</w:t>
      </w:r>
    </w:p>
    <w:p w:rsidR="00D3290D" w:rsidRPr="001A622A" w:rsidRDefault="00D3290D" w:rsidP="001A622A">
      <w:pPr>
        <w:pStyle w:val="Nadpis2"/>
        <w:ind w:firstLine="0"/>
        <w:rPr>
          <w:rFonts w:eastAsia="Cambria"/>
          <w:u w:color="000000"/>
          <w:bdr w:val="nil"/>
          <w:lang w:eastAsia="cs-CZ"/>
        </w:rPr>
      </w:pPr>
      <w:bookmarkStart w:id="125" w:name="_Toc18313977"/>
      <w:bookmarkStart w:id="126" w:name="_Toc42"/>
      <w:bookmarkStart w:id="127" w:name="_Toc18276757"/>
      <w:r w:rsidRPr="001A622A">
        <w:rPr>
          <w:rFonts w:eastAsia="Cambria"/>
          <w:u w:color="4F81BD"/>
          <w:bdr w:val="nil"/>
          <w:lang w:eastAsia="cs-CZ"/>
        </w:rPr>
        <w:t>Odborné č</w:t>
      </w:r>
      <w:r w:rsidRPr="001A622A">
        <w:rPr>
          <w:rFonts w:eastAsia="Cambria"/>
          <w:u w:color="000000"/>
          <w:bdr w:val="nil"/>
          <w:lang w:eastAsia="cs-CZ"/>
        </w:rPr>
        <w:t>asopisy</w:t>
      </w:r>
      <w:bookmarkEnd w:id="125"/>
      <w:r w:rsidRPr="001A622A">
        <w:rPr>
          <w:rFonts w:eastAsia="Cambria"/>
          <w:u w:color="000000"/>
          <w:bdr w:val="nil"/>
          <w:lang w:eastAsia="cs-CZ"/>
        </w:rPr>
        <w:t xml:space="preserve"> </w:t>
      </w:r>
    </w:p>
    <w:p w:rsidR="00D3290D" w:rsidRPr="00D3290D" w:rsidRDefault="00D3290D" w:rsidP="00D3290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firstLine="0"/>
        <w:rPr>
          <w:rFonts w:eastAsia="Times New Roman" w:cs="Times New Roman"/>
          <w:color w:val="000000"/>
          <w:szCs w:val="24"/>
          <w:u w:color="000000"/>
          <w:bdr w:val="nil"/>
          <w:shd w:val="clear" w:color="auto" w:fill="FFFFFF"/>
          <w:lang w:eastAsia="cs-CZ"/>
        </w:rPr>
      </w:pPr>
      <w:r w:rsidRPr="00D3290D">
        <w:rPr>
          <w:rFonts w:eastAsia="Arial Unicode MS" w:cs="Times New Roman"/>
          <w:color w:val="000000"/>
          <w:szCs w:val="24"/>
          <w:u w:color="000000"/>
          <w:bdr w:val="nil"/>
          <w:shd w:val="clear" w:color="auto" w:fill="FFFFFF"/>
          <w:lang w:eastAsia="cs-CZ"/>
        </w:rPr>
        <w:t>Komorní listy: časopis soudních exekutorů. Brno: Exekutorská komora Česk</w:t>
      </w:r>
      <w:r w:rsidRPr="00D3290D">
        <w:rPr>
          <w:rFonts w:eastAsia="Arial Unicode MS" w:cs="Times New Roman"/>
          <w:color w:val="000000"/>
          <w:szCs w:val="24"/>
          <w:u w:color="000000"/>
          <w:bdr w:val="nil"/>
          <w:shd w:val="clear" w:color="auto" w:fill="FFFFFF"/>
          <w:lang w:val="fr-FR" w:eastAsia="cs-CZ"/>
        </w:rPr>
        <w:t xml:space="preserve">é </w:t>
      </w:r>
      <w:r w:rsidRPr="00D3290D">
        <w:rPr>
          <w:rFonts w:eastAsia="Arial Unicode MS" w:cs="Times New Roman"/>
          <w:color w:val="000000"/>
          <w:szCs w:val="24"/>
          <w:u w:color="000000"/>
          <w:bdr w:val="nil"/>
          <w:shd w:val="clear" w:color="auto" w:fill="FFFFFF"/>
          <w:lang w:eastAsia="cs-CZ"/>
        </w:rPr>
        <w:t>republiky, 2009-. ISSN 1805-1081.</w:t>
      </w:r>
    </w:p>
    <w:p w:rsidR="00D3290D" w:rsidRPr="00D3290D" w:rsidRDefault="00D3290D" w:rsidP="00D3290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firstLine="0"/>
        <w:rPr>
          <w:rFonts w:eastAsia="Times New Roman" w:cs="Times New Roman"/>
          <w:color w:val="000000"/>
          <w:szCs w:val="24"/>
          <w:u w:color="000000"/>
          <w:bdr w:val="nil"/>
          <w:shd w:val="clear" w:color="auto" w:fill="FFFFFF"/>
          <w:lang w:eastAsia="cs-CZ"/>
        </w:rPr>
      </w:pPr>
    </w:p>
    <w:p w:rsidR="00D3290D" w:rsidRPr="00D3290D" w:rsidRDefault="00D3290D" w:rsidP="00D3290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firstLine="0"/>
        <w:rPr>
          <w:rFonts w:eastAsia="Times New Roman" w:cs="Times New Roman"/>
          <w:color w:val="454545"/>
          <w:szCs w:val="24"/>
          <w:bdr w:val="nil"/>
          <w:shd w:val="clear" w:color="auto" w:fill="FFFFFF"/>
          <w:lang w:eastAsia="cs-CZ"/>
        </w:rPr>
      </w:pPr>
      <w:r w:rsidRPr="00D3290D">
        <w:rPr>
          <w:rFonts w:eastAsia="Arial Unicode MS" w:cs="Times New Roman"/>
          <w:color w:val="000000"/>
          <w:szCs w:val="24"/>
          <w:u w:color="000000"/>
          <w:bdr w:val="nil"/>
          <w:shd w:val="clear" w:color="auto" w:fill="FFFFFF"/>
          <w:lang w:eastAsia="cs-CZ"/>
        </w:rPr>
        <w:t>KULKOVÁ, Radmila. Střety souběžně probíhajících exekucí. Právní rozhledy. 2002, č. 9, s. 417 - 422</w:t>
      </w:r>
    </w:p>
    <w:p w:rsidR="00D3290D" w:rsidRPr="001A622A" w:rsidRDefault="00D3290D" w:rsidP="001A622A">
      <w:pPr>
        <w:pStyle w:val="Nadpis2"/>
        <w:ind w:firstLine="0"/>
        <w:rPr>
          <w:rFonts w:eastAsia="Cambria"/>
          <w:u w:color="4F81BD"/>
          <w:bdr w:val="nil"/>
          <w:lang w:eastAsia="cs-CZ"/>
        </w:rPr>
      </w:pPr>
      <w:bookmarkStart w:id="128" w:name="_Toc18313978"/>
      <w:r w:rsidRPr="001A622A">
        <w:rPr>
          <w:rFonts w:eastAsia="Cambria"/>
          <w:u w:color="4F81BD"/>
          <w:bdr w:val="nil"/>
          <w:lang w:eastAsia="cs-CZ"/>
        </w:rPr>
        <w:t>Akademické práce</w:t>
      </w:r>
      <w:bookmarkEnd w:id="128"/>
    </w:p>
    <w:p w:rsidR="00D3290D" w:rsidRPr="00D3290D" w:rsidRDefault="00D3290D" w:rsidP="00D3290D">
      <w:pPr>
        <w:pBdr>
          <w:top w:val="nil"/>
          <w:left w:val="nil"/>
          <w:bottom w:val="nil"/>
          <w:right w:val="nil"/>
          <w:between w:val="nil"/>
          <w:bar w:val="nil"/>
        </w:pBdr>
        <w:spacing w:before="0" w:line="240" w:lineRule="auto"/>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BULANTOVÁ, Tereza. Porovnání exekuce správní a soudní. Plzeň, 2015. s.43-44,Bakalářská práce. Zá</w:t>
      </w:r>
      <w:r w:rsidRPr="00D3290D">
        <w:rPr>
          <w:rFonts w:eastAsia="Calibri" w:cs="Times New Roman"/>
          <w:color w:val="000000"/>
          <w:szCs w:val="24"/>
          <w:u w:color="000000"/>
          <w:bdr w:val="nil"/>
          <w:lang w:val="es-ES_tradnl" w:eastAsia="cs-CZ"/>
        </w:rPr>
        <w:t>pado</w:t>
      </w:r>
      <w:r w:rsidRPr="00D3290D">
        <w:rPr>
          <w:rFonts w:eastAsia="Calibri" w:cs="Times New Roman"/>
          <w:color w:val="000000"/>
          <w:szCs w:val="24"/>
          <w:u w:color="000000"/>
          <w:bdr w:val="nil"/>
          <w:lang w:eastAsia="cs-CZ"/>
        </w:rPr>
        <w:t xml:space="preserve">česká univerzita v Plzni, fakulta právnická. Vedoucí práce JUDr. Tomáš </w:t>
      </w:r>
      <w:r w:rsidRPr="00D3290D">
        <w:rPr>
          <w:rFonts w:eastAsia="Calibri" w:cs="Times New Roman"/>
          <w:color w:val="000000"/>
          <w:szCs w:val="24"/>
          <w:u w:color="000000"/>
          <w:bdr w:val="nil"/>
          <w:lang w:val="pt-PT" w:eastAsia="cs-CZ"/>
        </w:rPr>
        <w:t>Louda, CSc.</w:t>
      </w:r>
    </w:p>
    <w:p w:rsidR="009B70FF" w:rsidRPr="001A622A" w:rsidRDefault="001A622A" w:rsidP="001A622A">
      <w:pPr>
        <w:pStyle w:val="Nadpis2"/>
        <w:ind w:firstLine="0"/>
        <w:rPr>
          <w:color w:val="000000"/>
          <w:u w:color="000000"/>
        </w:rPr>
      </w:pPr>
      <w:bookmarkStart w:id="129" w:name="_Toc18313979"/>
      <w:r>
        <w:rPr>
          <w:rStyle w:val="dn"/>
          <w:color w:val="000000"/>
          <w:u w:color="000000"/>
        </w:rPr>
        <w:t>P</w:t>
      </w:r>
      <w:r w:rsidR="009B70FF">
        <w:rPr>
          <w:rStyle w:val="dn"/>
          <w:color w:val="000000"/>
          <w:u w:color="000000"/>
        </w:rPr>
        <w:t>rávní předpisy</w:t>
      </w:r>
      <w:bookmarkEnd w:id="126"/>
      <w:bookmarkEnd w:id="127"/>
      <w:bookmarkEnd w:id="129"/>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bookmarkStart w:id="130" w:name="_Toc43"/>
      <w:bookmarkStart w:id="131" w:name="_Toc18276758"/>
      <w:r w:rsidRPr="00D3290D">
        <w:rPr>
          <w:rFonts w:eastAsia="Arial Unicode MS" w:cs="Times New Roman"/>
          <w:color w:val="000000"/>
          <w:szCs w:val="24"/>
          <w:u w:color="000000"/>
          <w:bdr w:val="nil"/>
          <w:lang w:eastAsia="cs-CZ"/>
        </w:rPr>
        <w:t xml:space="preserve">Zákon č. 120/2001 Sb., o soudních exekutorech a exekuční činnosti (exekuční řád), ve znění pozdějších předpisů. </w:t>
      </w:r>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eastAsia="cs-CZ"/>
        </w:rPr>
        <w:t>Zákon č. 99/1963 Sb., obč</w:t>
      </w:r>
      <w:r w:rsidRPr="00D3290D">
        <w:rPr>
          <w:rFonts w:eastAsia="Arial Unicode MS" w:cs="Times New Roman"/>
          <w:color w:val="000000"/>
          <w:szCs w:val="24"/>
          <w:u w:color="000000"/>
          <w:bdr w:val="nil"/>
          <w:lang w:val="da-DK" w:eastAsia="cs-CZ"/>
        </w:rPr>
        <w:t>ansk</w:t>
      </w:r>
      <w:r w:rsidRPr="00D3290D">
        <w:rPr>
          <w:rFonts w:eastAsia="Arial Unicode MS" w:cs="Times New Roman"/>
          <w:color w:val="000000"/>
          <w:szCs w:val="24"/>
          <w:u w:color="000000"/>
          <w:bdr w:val="nil"/>
          <w:lang w:eastAsia="cs-CZ"/>
        </w:rPr>
        <w:t>ý soudní řád, ve znění pozdějších předpisů.</w:t>
      </w:r>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eastAsia="cs-CZ"/>
        </w:rPr>
        <w:t>Zákon č. 280/2009 Sb., daňový řád, v platn</w:t>
      </w:r>
      <w:r w:rsidRPr="00D3290D">
        <w:rPr>
          <w:rFonts w:eastAsia="Arial Unicode MS" w:cs="Times New Roman"/>
          <w:color w:val="000000"/>
          <w:szCs w:val="24"/>
          <w:u w:color="000000"/>
          <w:bdr w:val="nil"/>
          <w:lang w:val="fr-FR" w:eastAsia="cs-CZ"/>
        </w:rPr>
        <w:t>é</w:t>
      </w:r>
      <w:r w:rsidRPr="00D3290D">
        <w:rPr>
          <w:rFonts w:eastAsia="Arial Unicode MS" w:cs="Times New Roman"/>
          <w:color w:val="000000"/>
          <w:szCs w:val="24"/>
          <w:u w:color="000000"/>
          <w:bdr w:val="nil"/>
          <w:lang w:eastAsia="cs-CZ"/>
        </w:rPr>
        <w:t>m znění.</w:t>
      </w:r>
    </w:p>
    <w:p w:rsidR="00D3290D" w:rsidRPr="00D3290D" w:rsidRDefault="00D3290D" w:rsidP="00D3290D">
      <w:pPr>
        <w:pBdr>
          <w:top w:val="nil"/>
          <w:left w:val="nil"/>
          <w:bottom w:val="nil"/>
          <w:right w:val="nil"/>
          <w:between w:val="nil"/>
          <w:bar w:val="nil"/>
        </w:pBdr>
        <w:spacing w:before="0"/>
        <w:ind w:firstLine="0"/>
        <w:rPr>
          <w:rFonts w:eastAsia="Arial Unicode MS" w:cs="Times New Roman"/>
          <w:color w:val="000000"/>
          <w:szCs w:val="24"/>
          <w:u w:color="000000"/>
          <w:bdr w:val="nil"/>
          <w:lang w:eastAsia="cs-CZ"/>
        </w:rPr>
      </w:pPr>
      <w:r w:rsidRPr="00D3290D">
        <w:rPr>
          <w:rFonts w:eastAsia="Arial Unicode MS" w:cs="Times New Roman"/>
          <w:color w:val="000000"/>
          <w:szCs w:val="24"/>
          <w:u w:color="000000"/>
          <w:bdr w:val="nil"/>
          <w:lang w:eastAsia="cs-CZ"/>
        </w:rPr>
        <w:t>Zákon č. 500/2004, správní řád, ve znění pozdějších předpisů.</w:t>
      </w:r>
    </w:p>
    <w:p w:rsid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 xml:space="preserve">Zákon č. 119/2001 Sb., kterým se stanoví pravidla pro případy souběžně probíhajících výkonů rozhodnutí, ve znění pozdějších předpisů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Vyhláška č. 37/1992 Sb., o jednacím řádu pro okresní a krajsk</w:t>
      </w:r>
      <w:r w:rsidRPr="00D3290D">
        <w:rPr>
          <w:rFonts w:eastAsia="Calibri" w:cs="Times New Roman"/>
          <w:color w:val="000000"/>
          <w:szCs w:val="24"/>
          <w:u w:color="000000"/>
          <w:bdr w:val="nil"/>
          <w:lang w:val="fr-FR" w:eastAsia="cs-CZ"/>
        </w:rPr>
        <w:t xml:space="preserve">é </w:t>
      </w:r>
      <w:r w:rsidRPr="00D3290D">
        <w:rPr>
          <w:rFonts w:eastAsia="Calibri" w:cs="Times New Roman"/>
          <w:color w:val="000000"/>
          <w:szCs w:val="24"/>
          <w:u w:color="000000"/>
          <w:bdr w:val="nil"/>
          <w:lang w:eastAsia="cs-CZ"/>
        </w:rPr>
        <w:t xml:space="preserve">soudy, ve znění pozdějších předpisů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 xml:space="preserve">Vyhláška č. 418/2001 Sb., o postupech při výkonu exekuční </w:t>
      </w:r>
      <w:r w:rsidRPr="00D3290D">
        <w:rPr>
          <w:rFonts w:eastAsia="Calibri" w:cs="Times New Roman"/>
          <w:color w:val="000000"/>
          <w:szCs w:val="24"/>
          <w:u w:color="000000"/>
          <w:bdr w:val="nil"/>
          <w:lang w:val="it-IT" w:eastAsia="cs-CZ"/>
        </w:rPr>
        <w:t>a dal</w:t>
      </w:r>
      <w:r w:rsidRPr="00D3290D">
        <w:rPr>
          <w:rFonts w:eastAsia="Calibri" w:cs="Times New Roman"/>
          <w:color w:val="000000"/>
          <w:szCs w:val="24"/>
          <w:u w:color="000000"/>
          <w:bdr w:val="nil"/>
          <w:lang w:eastAsia="cs-CZ"/>
        </w:rPr>
        <w:t xml:space="preserve">ší činnosti, ve znění pozdějších předpisů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Nařízení vlády č. 595/2006 Sb., o způsobu výpočtu základní částky, která nesmí být sražena povinn</w:t>
      </w:r>
      <w:r w:rsidRPr="00D3290D">
        <w:rPr>
          <w:rFonts w:eastAsia="Calibri" w:cs="Times New Roman"/>
          <w:color w:val="000000"/>
          <w:szCs w:val="24"/>
          <w:u w:color="000000"/>
          <w:bdr w:val="nil"/>
          <w:lang w:val="fr-FR" w:eastAsia="cs-CZ"/>
        </w:rPr>
        <w:t>é</w:t>
      </w:r>
      <w:r w:rsidRPr="00D3290D">
        <w:rPr>
          <w:rFonts w:eastAsia="Calibri" w:cs="Times New Roman"/>
          <w:color w:val="000000"/>
          <w:szCs w:val="24"/>
          <w:u w:color="000000"/>
          <w:bdr w:val="nil"/>
          <w:lang w:eastAsia="cs-CZ"/>
        </w:rPr>
        <w:t xml:space="preserve">mu z měsíční mzdy při výkonu rozhodnutí, a o stanovení částky, nad kterou je mzda postižitelná srážkami bez omezení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 xml:space="preserve">Vyhláška č. 330/2001 Sb., o odměně a náhradách soudního exekutora, o odměně a náhradě hotových výdajů </w:t>
      </w:r>
      <w:r w:rsidRPr="00D3290D">
        <w:rPr>
          <w:rFonts w:eastAsia="Calibri" w:cs="Times New Roman"/>
          <w:color w:val="000000"/>
          <w:szCs w:val="24"/>
          <w:u w:color="000000"/>
          <w:bdr w:val="nil"/>
          <w:lang w:val="de-DE" w:eastAsia="cs-CZ"/>
        </w:rPr>
        <w:t>spr</w:t>
      </w:r>
      <w:r w:rsidRPr="00D3290D">
        <w:rPr>
          <w:rFonts w:eastAsia="Calibri" w:cs="Times New Roman"/>
          <w:color w:val="000000"/>
          <w:szCs w:val="24"/>
          <w:u w:color="000000"/>
          <w:bdr w:val="nil"/>
          <w:lang w:eastAsia="cs-CZ"/>
        </w:rPr>
        <w:t>ávce podniku a o podmínkách pojištění odpovědnosti za škody způsoben</w:t>
      </w:r>
      <w:r w:rsidRPr="00D3290D">
        <w:rPr>
          <w:rFonts w:eastAsia="Calibri" w:cs="Times New Roman"/>
          <w:color w:val="000000"/>
          <w:szCs w:val="24"/>
          <w:u w:color="000000"/>
          <w:bdr w:val="nil"/>
          <w:lang w:val="fr-FR" w:eastAsia="cs-CZ"/>
        </w:rPr>
        <w:t xml:space="preserve">é </w:t>
      </w:r>
      <w:r w:rsidRPr="00D3290D">
        <w:rPr>
          <w:rFonts w:eastAsia="Calibri" w:cs="Times New Roman"/>
          <w:color w:val="000000"/>
          <w:szCs w:val="24"/>
          <w:u w:color="000000"/>
          <w:bdr w:val="nil"/>
          <w:lang w:eastAsia="cs-CZ"/>
        </w:rPr>
        <w:t xml:space="preserve">exekutorem, ve znění pozdějších předpisů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Vyhláška č. 254/2015 Sb., o stanovení výš</w:t>
      </w:r>
      <w:r w:rsidRPr="00D3290D">
        <w:rPr>
          <w:rFonts w:eastAsia="Calibri" w:cs="Times New Roman"/>
          <w:color w:val="000000"/>
          <w:szCs w:val="24"/>
          <w:u w:color="000000"/>
          <w:bdr w:val="nil"/>
          <w:lang w:val="fr-FR" w:eastAsia="cs-CZ"/>
        </w:rPr>
        <w:t>e pau</w:t>
      </w:r>
      <w:r w:rsidRPr="00D3290D">
        <w:rPr>
          <w:rFonts w:eastAsia="Calibri" w:cs="Times New Roman"/>
          <w:color w:val="000000"/>
          <w:szCs w:val="24"/>
          <w:u w:color="000000"/>
          <w:bdr w:val="nil"/>
          <w:lang w:eastAsia="cs-CZ"/>
        </w:rPr>
        <w:t xml:space="preserve">šální náhrady pro účely rozhodování </w:t>
      </w:r>
      <w:r w:rsidRPr="00D3290D">
        <w:rPr>
          <w:rFonts w:eastAsia="Calibri" w:cs="Times New Roman"/>
          <w:color w:val="000000"/>
          <w:szCs w:val="24"/>
          <w:u w:color="000000"/>
          <w:bdr w:val="nil"/>
          <w:lang w:val="en-US" w:eastAsia="cs-CZ"/>
        </w:rPr>
        <w:t>o n</w:t>
      </w:r>
      <w:r w:rsidRPr="00D3290D">
        <w:rPr>
          <w:rFonts w:eastAsia="Calibri" w:cs="Times New Roman"/>
          <w:color w:val="000000"/>
          <w:szCs w:val="24"/>
          <w:u w:color="000000"/>
          <w:bdr w:val="nil"/>
          <w:lang w:eastAsia="cs-CZ"/>
        </w:rPr>
        <w:t>áhradě nákladů řízení v případech podle § 151 odst. 3 obč</w:t>
      </w:r>
      <w:r w:rsidRPr="00D3290D">
        <w:rPr>
          <w:rFonts w:eastAsia="Calibri" w:cs="Times New Roman"/>
          <w:color w:val="000000"/>
          <w:szCs w:val="24"/>
          <w:u w:color="000000"/>
          <w:bdr w:val="nil"/>
          <w:lang w:val="da-DK" w:eastAsia="cs-CZ"/>
        </w:rPr>
        <w:t>ansk</w:t>
      </w:r>
      <w:r w:rsidRPr="00D3290D">
        <w:rPr>
          <w:rFonts w:eastAsia="Calibri" w:cs="Times New Roman"/>
          <w:color w:val="000000"/>
          <w:szCs w:val="24"/>
          <w:u w:color="000000"/>
          <w:bdr w:val="nil"/>
          <w:lang w:val="fr-FR" w:eastAsia="cs-CZ"/>
        </w:rPr>
        <w:t>é</w:t>
      </w:r>
      <w:r w:rsidRPr="00D3290D">
        <w:rPr>
          <w:rFonts w:eastAsia="Calibri" w:cs="Times New Roman"/>
          <w:color w:val="000000"/>
          <w:szCs w:val="24"/>
          <w:u w:color="000000"/>
          <w:bdr w:val="nil"/>
          <w:lang w:eastAsia="cs-CZ"/>
        </w:rPr>
        <w:t xml:space="preserve">ho soudního řádu a podle § </w:t>
      </w:r>
      <w:r w:rsidRPr="00D3290D">
        <w:rPr>
          <w:rFonts w:eastAsia="Calibri" w:cs="Times New Roman"/>
          <w:color w:val="000000"/>
          <w:szCs w:val="24"/>
          <w:u w:color="000000"/>
          <w:bdr w:val="nil"/>
          <w:lang w:val="pt-PT" w:eastAsia="cs-CZ"/>
        </w:rPr>
        <w:t>89a exeku</w:t>
      </w:r>
      <w:r w:rsidRPr="00D3290D">
        <w:rPr>
          <w:rFonts w:eastAsia="Calibri" w:cs="Times New Roman"/>
          <w:color w:val="000000"/>
          <w:szCs w:val="24"/>
          <w:u w:color="000000"/>
          <w:bdr w:val="nil"/>
          <w:lang w:eastAsia="cs-CZ"/>
        </w:rPr>
        <w:t>čního řá</w:t>
      </w:r>
      <w:r w:rsidRPr="00D3290D">
        <w:rPr>
          <w:rFonts w:eastAsia="Calibri" w:cs="Times New Roman"/>
          <w:color w:val="000000"/>
          <w:szCs w:val="24"/>
          <w:u w:color="000000"/>
          <w:bdr w:val="nil"/>
          <w:lang w:val="fr-FR" w:eastAsia="cs-CZ"/>
        </w:rPr>
        <w:t xml:space="preserve">du </w:t>
      </w:r>
    </w:p>
    <w:p w:rsidR="00D3290D" w:rsidRPr="00D3290D" w:rsidRDefault="00D3290D" w:rsidP="00D3290D">
      <w:pPr>
        <w:pBdr>
          <w:top w:val="nil"/>
          <w:left w:val="nil"/>
          <w:bottom w:val="nil"/>
          <w:right w:val="nil"/>
          <w:between w:val="nil"/>
          <w:bar w:val="nil"/>
        </w:pBdr>
        <w:spacing w:before="0" w:after="200"/>
        <w:ind w:firstLine="0"/>
        <w:rPr>
          <w:rFonts w:eastAsia="Times New Roman" w:cs="Times New Roman"/>
          <w:color w:val="000000"/>
          <w:szCs w:val="24"/>
          <w:u w:color="000000"/>
          <w:bdr w:val="nil"/>
          <w:lang w:eastAsia="cs-CZ"/>
        </w:rPr>
      </w:pPr>
      <w:r w:rsidRPr="00D3290D">
        <w:rPr>
          <w:rFonts w:eastAsia="Calibri" w:cs="Times New Roman"/>
          <w:color w:val="000000"/>
          <w:szCs w:val="24"/>
          <w:u w:color="000000"/>
          <w:bdr w:val="nil"/>
          <w:lang w:eastAsia="cs-CZ"/>
        </w:rPr>
        <w:t>Vyhláška č</w:t>
      </w:r>
      <w:r w:rsidRPr="00D3290D">
        <w:rPr>
          <w:rFonts w:eastAsia="Calibri" w:cs="Times New Roman"/>
          <w:color w:val="000000"/>
          <w:szCs w:val="24"/>
          <w:u w:color="000000"/>
          <w:bdr w:val="nil"/>
          <w:lang w:val="pt-PT" w:eastAsia="cs-CZ"/>
        </w:rPr>
        <w:t>. 329/2008 Sb., o centr</w:t>
      </w:r>
      <w:r w:rsidRPr="00D3290D">
        <w:rPr>
          <w:rFonts w:eastAsia="Calibri" w:cs="Times New Roman"/>
          <w:color w:val="000000"/>
          <w:szCs w:val="24"/>
          <w:u w:color="000000"/>
          <w:bdr w:val="nil"/>
          <w:lang w:eastAsia="cs-CZ"/>
        </w:rPr>
        <w:t>ální evidenci exekucí, ve znění pozdějších předpisů</w:t>
      </w:r>
    </w:p>
    <w:p w:rsidR="009B70FF" w:rsidRPr="0044491D" w:rsidRDefault="00D3290D" w:rsidP="0044491D">
      <w:pPr>
        <w:pBdr>
          <w:top w:val="nil"/>
          <w:left w:val="nil"/>
          <w:bottom w:val="nil"/>
          <w:right w:val="nil"/>
          <w:between w:val="nil"/>
          <w:bar w:val="nil"/>
        </w:pBdr>
        <w:spacing w:before="0" w:after="200"/>
        <w:ind w:firstLine="0"/>
        <w:rPr>
          <w:rStyle w:val="dn"/>
          <w:rFonts w:eastAsia="Times New Roman" w:cs="Times New Roman"/>
          <w:color w:val="000000"/>
          <w:sz w:val="23"/>
          <w:szCs w:val="23"/>
          <w:u w:color="000000"/>
          <w:bdr w:val="nil"/>
          <w:lang w:eastAsia="cs-CZ"/>
        </w:rPr>
      </w:pPr>
      <w:r w:rsidRPr="00D3290D">
        <w:rPr>
          <w:rFonts w:eastAsia="Calibri" w:cs="Times New Roman"/>
          <w:color w:val="000000"/>
          <w:szCs w:val="24"/>
          <w:u w:color="000000"/>
          <w:bdr w:val="nil"/>
          <w:lang w:eastAsia="cs-CZ"/>
        </w:rPr>
        <w:t>Vyhláška č</w:t>
      </w:r>
      <w:r w:rsidRPr="00D3290D">
        <w:rPr>
          <w:rFonts w:eastAsia="Calibri" w:cs="Times New Roman"/>
          <w:color w:val="000000"/>
          <w:szCs w:val="24"/>
          <w:u w:color="000000"/>
          <w:bdr w:val="nil"/>
          <w:lang w:val="pt-PT" w:eastAsia="cs-CZ"/>
        </w:rPr>
        <w:t>. 331/2001 Sb., o centr</w:t>
      </w:r>
      <w:r w:rsidRPr="00D3290D">
        <w:rPr>
          <w:rFonts w:eastAsia="Calibri" w:cs="Times New Roman"/>
          <w:color w:val="000000"/>
          <w:szCs w:val="24"/>
          <w:u w:color="000000"/>
          <w:bdr w:val="nil"/>
          <w:lang w:eastAsia="cs-CZ"/>
        </w:rPr>
        <w:t>ální evidenci exekucí</w:t>
      </w:r>
      <w:bookmarkEnd w:id="130"/>
      <w:bookmarkEnd w:id="131"/>
    </w:p>
    <w:p w:rsidR="009B70FF" w:rsidRDefault="009B70FF" w:rsidP="00D3290D">
      <w:pPr>
        <w:pStyle w:val="Nadpis2"/>
        <w:ind w:firstLine="0"/>
        <w:rPr>
          <w:rStyle w:val="dn"/>
          <w:rFonts w:eastAsia="Times New Roman" w:cs="Times New Roman"/>
        </w:rPr>
      </w:pPr>
      <w:bookmarkStart w:id="132" w:name="_Toc18313980"/>
      <w:r>
        <w:rPr>
          <w:rStyle w:val="dn"/>
        </w:rPr>
        <w:t>Odkazy internetových stránek</w:t>
      </w:r>
      <w:bookmarkEnd w:id="132"/>
    </w:p>
    <w:p w:rsidR="00D3290D" w:rsidRPr="005C706D" w:rsidRDefault="00D3290D" w:rsidP="00D3290D">
      <w:pPr>
        <w:pBdr>
          <w:top w:val="nil"/>
          <w:left w:val="nil"/>
          <w:bottom w:val="nil"/>
          <w:right w:val="nil"/>
          <w:between w:val="nil"/>
          <w:bar w:val="nil"/>
        </w:pBdr>
        <w:spacing w:before="0" w:line="240" w:lineRule="auto"/>
        <w:ind w:firstLine="0"/>
        <w:rPr>
          <w:rFonts w:eastAsia="Calibri" w:cs="Times New Roman"/>
          <w:szCs w:val="24"/>
          <w:bdr w:val="nil"/>
          <w:lang w:eastAsia="cs-CZ"/>
        </w:rPr>
      </w:pPr>
      <w:r w:rsidRPr="005C706D">
        <w:rPr>
          <w:rFonts w:eastAsia="Calibri" w:cs="Times New Roman"/>
          <w:szCs w:val="24"/>
          <w:bdr w:val="nil"/>
          <w:lang w:eastAsia="cs-CZ"/>
        </w:rPr>
        <w:t>BÁČ</w:t>
      </w:r>
      <w:r w:rsidRPr="005C706D">
        <w:rPr>
          <w:rFonts w:eastAsia="Calibri" w:cs="Times New Roman"/>
          <w:szCs w:val="24"/>
          <w:bdr w:val="nil"/>
          <w:lang w:val="nl-NL" w:eastAsia="cs-CZ"/>
        </w:rPr>
        <w:t>OV</w:t>
      </w:r>
      <w:r w:rsidRPr="005C706D">
        <w:rPr>
          <w:rFonts w:eastAsia="Calibri" w:cs="Times New Roman"/>
          <w:szCs w:val="24"/>
          <w:bdr w:val="nil"/>
          <w:lang w:eastAsia="cs-CZ"/>
        </w:rPr>
        <w:t>Á, Petra. Exekutorská komora podporuje místní přísluš</w:t>
      </w:r>
      <w:r w:rsidRPr="005C706D">
        <w:rPr>
          <w:rFonts w:eastAsia="Calibri" w:cs="Times New Roman"/>
          <w:szCs w:val="24"/>
          <w:bdr w:val="nil"/>
          <w:lang w:val="pt-PT" w:eastAsia="cs-CZ"/>
        </w:rPr>
        <w:t>nost [online]. 27.05.2014 [cit. 2019-</w:t>
      </w:r>
      <w:r w:rsidRPr="005C706D">
        <w:rPr>
          <w:rFonts w:eastAsia="Calibri" w:cs="Times New Roman"/>
          <w:szCs w:val="24"/>
          <w:bdr w:val="nil"/>
          <w:lang w:eastAsia="cs-CZ"/>
        </w:rPr>
        <w:t>07-23].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 xml:space="preserve">z: </w:t>
      </w:r>
      <w:hyperlink r:id="rId11" w:history="1">
        <w:r w:rsidRPr="005C706D">
          <w:rPr>
            <w:rFonts w:eastAsia="Calibri" w:cs="Times New Roman"/>
            <w:szCs w:val="24"/>
            <w:bdr w:val="nil"/>
            <w:lang w:eastAsia="cs-CZ"/>
          </w:rPr>
          <w:t>https://www.ekcr.cz/1/aktuality-pro-media/1615-exekutorska-komora-podporuje-mistni-prislusnost-27-05-2014?w=</w:t>
        </w:r>
      </w:hyperlink>
    </w:p>
    <w:p w:rsidR="00D3290D" w:rsidRPr="005C706D" w:rsidRDefault="00D3290D" w:rsidP="00D3290D">
      <w:pPr>
        <w:pBdr>
          <w:top w:val="nil"/>
          <w:left w:val="nil"/>
          <w:bottom w:val="nil"/>
          <w:right w:val="nil"/>
          <w:between w:val="nil"/>
          <w:bar w:val="nil"/>
        </w:pBdr>
        <w:spacing w:before="0" w:line="240" w:lineRule="auto"/>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eastAsia="cs-CZ"/>
        </w:rPr>
        <w:t>Dohled - právní ú</w:t>
      </w:r>
      <w:r w:rsidRPr="005C706D">
        <w:rPr>
          <w:rFonts w:eastAsia="Calibri" w:cs="Times New Roman"/>
          <w:szCs w:val="24"/>
          <w:bdr w:val="nil"/>
          <w:lang w:val="pt-PT" w:eastAsia="cs-CZ"/>
        </w:rPr>
        <w:t>prava [online]. [cit. 2019</w:t>
      </w:r>
      <w:r w:rsidRPr="005C706D">
        <w:rPr>
          <w:rFonts w:eastAsia="Calibri" w:cs="Times New Roman"/>
          <w:szCs w:val="24"/>
          <w:bdr w:val="nil"/>
          <w:lang w:eastAsia="cs-CZ"/>
        </w:rPr>
        <w:t>-08–20].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 xml:space="preserve">z: </w:t>
      </w:r>
      <w:hyperlink r:id="rId12" w:history="1">
        <w:r w:rsidRPr="005C706D">
          <w:rPr>
            <w:rFonts w:eastAsia="Calibri" w:cs="Times New Roman"/>
            <w:szCs w:val="24"/>
            <w:bdr w:val="nil"/>
            <w:lang w:eastAsia="cs-CZ"/>
          </w:rPr>
          <w:t>https://www.ekcr.cz/1/nejcastejsi-dotazy/694-dohled-pravni-uprava?w=</w:t>
        </w:r>
      </w:hyperlink>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val="da-DK" w:eastAsia="cs-CZ"/>
        </w:rPr>
        <w:t>HLADK</w:t>
      </w:r>
      <w:r w:rsidRPr="005C706D">
        <w:rPr>
          <w:rFonts w:eastAsia="Calibri" w:cs="Times New Roman"/>
          <w:szCs w:val="24"/>
          <w:bdr w:val="nil"/>
          <w:lang w:eastAsia="cs-CZ"/>
        </w:rPr>
        <w:t>Ý</w:t>
      </w:r>
      <w:r w:rsidRPr="005C706D">
        <w:rPr>
          <w:rFonts w:eastAsia="Calibri" w:cs="Times New Roman"/>
          <w:szCs w:val="24"/>
          <w:bdr w:val="nil"/>
          <w:lang w:val="de-DE" w:eastAsia="cs-CZ"/>
        </w:rPr>
        <w:t>, Jan a Petr HOLE</w:t>
      </w:r>
      <w:r w:rsidRPr="005C706D">
        <w:rPr>
          <w:rFonts w:eastAsia="Calibri" w:cs="Times New Roman"/>
          <w:szCs w:val="24"/>
          <w:bdr w:val="nil"/>
          <w:lang w:eastAsia="cs-CZ"/>
        </w:rPr>
        <w:t>ŠÍNSKÝ. Soudní exekutoři a legislativn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proces v Česk</w:t>
      </w:r>
      <w:r w:rsidRPr="005C706D">
        <w:rPr>
          <w:rFonts w:eastAsia="Calibri" w:cs="Times New Roman"/>
          <w:szCs w:val="24"/>
          <w:bdr w:val="nil"/>
          <w:lang w:val="fr-FR" w:eastAsia="cs-CZ"/>
        </w:rPr>
        <w:t xml:space="preserve">é </w:t>
      </w:r>
      <w:r w:rsidRPr="005C706D">
        <w:rPr>
          <w:rFonts w:eastAsia="Calibri" w:cs="Times New Roman"/>
          <w:szCs w:val="24"/>
          <w:bdr w:val="nil"/>
          <w:lang w:val="pt-PT" w:eastAsia="cs-CZ"/>
        </w:rPr>
        <w:t>republice [online]. 27. 7. 2001 [cit. 2019-08-20].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 xml:space="preserve">z: </w:t>
      </w:r>
      <w:hyperlink r:id="rId13" w:history="1">
        <w:r w:rsidRPr="005C706D">
          <w:rPr>
            <w:rFonts w:eastAsia="Calibri" w:cs="Times New Roman"/>
            <w:szCs w:val="24"/>
            <w:bdr w:val="nil"/>
            <w:lang w:eastAsia="cs-CZ"/>
          </w:rPr>
          <w:t>https://www.epravo.cz/top/clanky/soudni-exekutori-a-legislativni-proces-v-ceske-republice-10951.html</w:t>
        </w:r>
      </w:hyperlink>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eastAsia="cs-CZ"/>
        </w:rPr>
        <w:t>I</w:t>
      </w:r>
      <w:r w:rsidRPr="005C706D">
        <w:rPr>
          <w:rFonts w:eastAsia="Calibri" w:cs="Times New Roman"/>
          <w:szCs w:val="24"/>
          <w:bdr w:val="nil"/>
          <w:lang w:val="it-IT" w:eastAsia="cs-CZ"/>
        </w:rPr>
        <w:t>uridictum: Encyklopedie o pr</w:t>
      </w:r>
      <w:r w:rsidRPr="005C706D">
        <w:rPr>
          <w:rFonts w:eastAsia="Calibri" w:cs="Times New Roman"/>
          <w:szCs w:val="24"/>
          <w:bdr w:val="nil"/>
          <w:lang w:eastAsia="cs-CZ"/>
        </w:rPr>
        <w:t>á</w:t>
      </w:r>
      <w:r w:rsidRPr="005C706D">
        <w:rPr>
          <w:rFonts w:eastAsia="Calibri" w:cs="Times New Roman"/>
          <w:szCs w:val="24"/>
          <w:bdr w:val="nil"/>
          <w:lang w:val="pt-PT" w:eastAsia="cs-CZ"/>
        </w:rPr>
        <w:t>vu [online]. PECINA, Tom</w:t>
      </w:r>
      <w:r w:rsidRPr="005C706D">
        <w:rPr>
          <w:rFonts w:eastAsia="Calibri" w:cs="Times New Roman"/>
          <w:szCs w:val="24"/>
          <w:bdr w:val="nil"/>
          <w:lang w:eastAsia="cs-CZ"/>
        </w:rPr>
        <w:t>áš</w:t>
      </w:r>
      <w:r w:rsidRPr="005C706D">
        <w:rPr>
          <w:rFonts w:eastAsia="Calibri" w:cs="Times New Roman"/>
          <w:szCs w:val="24"/>
          <w:bdr w:val="nil"/>
          <w:lang w:val="pt-PT" w:eastAsia="cs-CZ"/>
        </w:rPr>
        <w:t>. [cit. 201</w:t>
      </w:r>
      <w:r w:rsidRPr="005C706D">
        <w:rPr>
          <w:rFonts w:eastAsia="Calibri" w:cs="Times New Roman"/>
          <w:szCs w:val="24"/>
          <w:bdr w:val="nil"/>
          <w:lang w:eastAsia="cs-CZ"/>
        </w:rPr>
        <w:t>9-08-06]. Dostupn</w:t>
      </w:r>
      <w:r w:rsidRPr="005C706D">
        <w:rPr>
          <w:rFonts w:eastAsia="Calibri" w:cs="Times New Roman"/>
          <w:szCs w:val="24"/>
          <w:bdr w:val="nil"/>
          <w:lang w:val="fr-FR" w:eastAsia="cs-CZ"/>
        </w:rPr>
        <w:t>é</w:t>
      </w:r>
      <w:r w:rsidRPr="005C706D">
        <w:rPr>
          <w:rFonts w:eastAsia="Calibri" w:cs="Times New Roman"/>
          <w:szCs w:val="24"/>
          <w:bdr w:val="nil"/>
          <w:lang w:eastAsia="cs-CZ"/>
        </w:rPr>
        <w:t xml:space="preserve"> z:</w:t>
      </w:r>
      <w:hyperlink r:id="rId14" w:history="1">
        <w:r w:rsidRPr="005C706D">
          <w:rPr>
            <w:rFonts w:eastAsia="Calibri" w:cs="Times New Roman"/>
            <w:szCs w:val="24"/>
            <w:bdr w:val="nil"/>
            <w:lang w:val="en-US" w:eastAsia="cs-CZ"/>
          </w:rPr>
          <w:t>http://iuridictum.pecina.cz/w/Chammurabiho_z%C3%A1kon%C3%ADk</w:t>
        </w:r>
      </w:hyperlink>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line="240" w:lineRule="auto"/>
        <w:ind w:firstLine="0"/>
        <w:rPr>
          <w:rFonts w:eastAsia="Calibri" w:cs="Times New Roman"/>
          <w:szCs w:val="24"/>
          <w:bdr w:val="nil"/>
          <w:lang w:eastAsia="cs-CZ"/>
        </w:rPr>
      </w:pPr>
      <w:r w:rsidRPr="005C706D">
        <w:rPr>
          <w:rFonts w:eastAsia="Calibri" w:cs="Times New Roman"/>
          <w:szCs w:val="24"/>
          <w:bdr w:val="nil"/>
          <w:lang w:val="de-DE" w:eastAsia="cs-CZ"/>
        </w:rPr>
        <w:t>KOL</w:t>
      </w:r>
      <w:r w:rsidRPr="005C706D">
        <w:rPr>
          <w:rFonts w:eastAsia="Calibri" w:cs="Times New Roman"/>
          <w:szCs w:val="24"/>
          <w:bdr w:val="nil"/>
          <w:lang w:eastAsia="cs-CZ"/>
        </w:rPr>
        <w:t>ÁŘ</w:t>
      </w:r>
      <w:r w:rsidRPr="005C706D">
        <w:rPr>
          <w:rFonts w:eastAsia="Calibri" w:cs="Times New Roman"/>
          <w:szCs w:val="24"/>
          <w:bdr w:val="nil"/>
          <w:lang w:val="nl-NL" w:eastAsia="cs-CZ"/>
        </w:rPr>
        <w:t>OV</w:t>
      </w:r>
      <w:r w:rsidRPr="005C706D">
        <w:rPr>
          <w:rFonts w:eastAsia="Calibri" w:cs="Times New Roman"/>
          <w:szCs w:val="24"/>
          <w:bdr w:val="nil"/>
          <w:lang w:eastAsia="cs-CZ"/>
        </w:rPr>
        <w:t>Á, Kateř</w:t>
      </w:r>
      <w:r w:rsidRPr="005C706D">
        <w:rPr>
          <w:rFonts w:eastAsia="Calibri" w:cs="Times New Roman"/>
          <w:szCs w:val="24"/>
          <w:bdr w:val="nil"/>
          <w:lang w:val="pt-PT" w:eastAsia="cs-CZ"/>
        </w:rPr>
        <w:t xml:space="preserve">ina. CO </w:t>
      </w:r>
      <w:r w:rsidRPr="005C706D">
        <w:rPr>
          <w:rFonts w:eastAsia="Calibri" w:cs="Times New Roman"/>
          <w:szCs w:val="24"/>
          <w:bdr w:val="nil"/>
          <w:lang w:eastAsia="cs-CZ"/>
        </w:rPr>
        <w:t>Č</w:t>
      </w:r>
      <w:r w:rsidRPr="005C706D">
        <w:rPr>
          <w:rFonts w:eastAsia="Calibri" w:cs="Times New Roman"/>
          <w:szCs w:val="24"/>
          <w:bdr w:val="nil"/>
          <w:lang w:val="de-DE" w:eastAsia="cs-CZ"/>
        </w:rPr>
        <w:t>EK</w:t>
      </w:r>
      <w:r w:rsidRPr="005C706D">
        <w:rPr>
          <w:rFonts w:eastAsia="Calibri" w:cs="Times New Roman"/>
          <w:szCs w:val="24"/>
          <w:bdr w:val="nil"/>
          <w:lang w:eastAsia="cs-CZ"/>
        </w:rPr>
        <w:t>Á Č</w:t>
      </w:r>
      <w:r w:rsidRPr="005C706D">
        <w:rPr>
          <w:rFonts w:eastAsia="Calibri" w:cs="Times New Roman"/>
          <w:szCs w:val="24"/>
          <w:bdr w:val="nil"/>
          <w:lang w:val="pt-PT" w:eastAsia="cs-CZ"/>
        </w:rPr>
        <w:t>ESK</w:t>
      </w:r>
      <w:r w:rsidRPr="005C706D">
        <w:rPr>
          <w:rFonts w:eastAsia="Calibri" w:cs="Times New Roman"/>
          <w:szCs w:val="24"/>
          <w:bdr w:val="nil"/>
          <w:lang w:val="fr-FR" w:eastAsia="cs-CZ"/>
        </w:rPr>
        <w:t>É</w:t>
      </w:r>
      <w:r w:rsidRPr="005C706D">
        <w:rPr>
          <w:rFonts w:eastAsia="Calibri" w:cs="Times New Roman"/>
          <w:szCs w:val="24"/>
          <w:bdr w:val="nil"/>
          <w:lang w:val="de-DE" w:eastAsia="cs-CZ"/>
        </w:rPr>
        <w:t>HO DLU</w:t>
      </w:r>
      <w:r w:rsidRPr="005C706D">
        <w:rPr>
          <w:rFonts w:eastAsia="Calibri" w:cs="Times New Roman"/>
          <w:szCs w:val="24"/>
          <w:bdr w:val="nil"/>
          <w:lang w:eastAsia="cs-CZ"/>
        </w:rPr>
        <w:t>ŽNÍ</w:t>
      </w:r>
      <w:r w:rsidRPr="005C706D">
        <w:rPr>
          <w:rFonts w:eastAsia="Calibri" w:cs="Times New Roman"/>
          <w:szCs w:val="24"/>
          <w:bdr w:val="nil"/>
          <w:lang w:val="pt-PT" w:eastAsia="cs-CZ"/>
        </w:rPr>
        <w:t>KA? [online]. 18.2.2019 [cit. 2019-0</w:t>
      </w:r>
      <w:r w:rsidRPr="005C706D">
        <w:rPr>
          <w:rFonts w:eastAsia="Calibri" w:cs="Times New Roman"/>
          <w:szCs w:val="24"/>
          <w:bdr w:val="nil"/>
          <w:lang w:eastAsia="cs-CZ"/>
        </w:rPr>
        <w:t>7-26].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 xml:space="preserve">z: </w:t>
      </w:r>
      <w:hyperlink r:id="rId15" w:history="1">
        <w:r w:rsidRPr="005C706D">
          <w:rPr>
            <w:rFonts w:eastAsia="Calibri" w:cs="Times New Roman"/>
            <w:szCs w:val="24"/>
            <w:bdr w:val="nil"/>
            <w:lang w:val="en-US" w:eastAsia="cs-CZ"/>
          </w:rPr>
          <w:t>https://www.cak.cz/scripts/detail.php?id=20169</w:t>
        </w:r>
      </w:hyperlink>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line="240" w:lineRule="auto"/>
        <w:ind w:firstLine="0"/>
        <w:rPr>
          <w:rFonts w:eastAsia="Times New Roman" w:cs="Times New Roman"/>
          <w:szCs w:val="24"/>
          <w:bdr w:val="nil"/>
          <w:lang w:eastAsia="cs-CZ"/>
        </w:rPr>
      </w:pPr>
      <w:r w:rsidRPr="005C706D">
        <w:rPr>
          <w:rFonts w:eastAsia="Calibri" w:cs="Times New Roman"/>
          <w:szCs w:val="24"/>
          <w:bdr w:val="nil"/>
          <w:lang w:val="it-IT" w:eastAsia="cs-CZ"/>
        </w:rPr>
        <w:t>Metodick</w:t>
      </w:r>
      <w:r w:rsidRPr="005C706D">
        <w:rPr>
          <w:rFonts w:eastAsia="Calibri" w:cs="Times New Roman"/>
          <w:szCs w:val="24"/>
          <w:bdr w:val="nil"/>
          <w:lang w:eastAsia="cs-CZ"/>
        </w:rPr>
        <w:t>á pomůcka odboru stavebního řádu Ministerstva pro místní rozvoj pro stavební úř</w:t>
      </w:r>
      <w:r w:rsidRPr="005C706D">
        <w:rPr>
          <w:rFonts w:eastAsia="Calibri" w:cs="Times New Roman"/>
          <w:szCs w:val="24"/>
          <w:bdr w:val="nil"/>
          <w:lang w:val="en-US" w:eastAsia="cs-CZ"/>
        </w:rPr>
        <w:t>ady: Exeku</w:t>
      </w:r>
      <w:r w:rsidRPr="005C706D">
        <w:rPr>
          <w:rFonts w:eastAsia="Calibri" w:cs="Times New Roman"/>
          <w:szCs w:val="24"/>
          <w:bdr w:val="nil"/>
          <w:lang w:eastAsia="cs-CZ"/>
        </w:rPr>
        <w:t xml:space="preserve">ční řízení </w:t>
      </w:r>
      <w:r w:rsidRPr="005C706D">
        <w:rPr>
          <w:rFonts w:eastAsia="Calibri" w:cs="Times New Roman"/>
          <w:szCs w:val="24"/>
          <w:bdr w:val="nil"/>
          <w:lang w:val="pt-PT" w:eastAsia="cs-CZ"/>
        </w:rPr>
        <w:t>[online]. prosinec 2010 [cit. 2019-0</w:t>
      </w:r>
      <w:r w:rsidRPr="005C706D">
        <w:rPr>
          <w:rFonts w:eastAsia="Calibri" w:cs="Times New Roman"/>
          <w:szCs w:val="24"/>
          <w:bdr w:val="nil"/>
          <w:lang w:eastAsia="cs-CZ"/>
        </w:rPr>
        <w:t>8-20].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 xml:space="preserve">z: </w:t>
      </w:r>
      <w:hyperlink r:id="rId16" w:history="1">
        <w:r w:rsidRPr="005C706D">
          <w:rPr>
            <w:rFonts w:eastAsia="Calibri" w:cs="Times New Roman"/>
            <w:szCs w:val="24"/>
            <w:bdr w:val="nil"/>
            <w:lang w:eastAsia="cs-CZ"/>
          </w:rPr>
          <w:t>http://www.mmr.cz/getmedia/6be63d6f-968a-4440-91bd-caf5ee3e6d27/exekuce</w:t>
        </w:r>
      </w:hyperlink>
    </w:p>
    <w:p w:rsidR="00D3290D" w:rsidRPr="005C706D" w:rsidRDefault="00D3290D" w:rsidP="00D3290D">
      <w:pPr>
        <w:pBdr>
          <w:top w:val="nil"/>
          <w:left w:val="nil"/>
          <w:bottom w:val="nil"/>
          <w:right w:val="nil"/>
          <w:between w:val="nil"/>
          <w:bar w:val="nil"/>
        </w:pBdr>
        <w:spacing w:before="0" w:line="240" w:lineRule="auto"/>
        <w:ind w:firstLine="0"/>
        <w:rPr>
          <w:rFonts w:eastAsia="Times New Roman"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eastAsia="cs-CZ"/>
        </w:rPr>
        <w:t xml:space="preserve">Místní příslušnost exekutorů, tzv. teritorialita. Mapa exekucí </w:t>
      </w:r>
      <w:r w:rsidRPr="005C706D">
        <w:rPr>
          <w:rFonts w:eastAsia="Calibri" w:cs="Times New Roman"/>
          <w:szCs w:val="24"/>
          <w:bdr w:val="nil"/>
          <w:lang w:val="pt-PT" w:eastAsia="cs-CZ"/>
        </w:rPr>
        <w:t>[online]. [cit. 2019-08-</w:t>
      </w:r>
      <w:r w:rsidRPr="005C706D">
        <w:rPr>
          <w:rFonts w:eastAsia="Calibri" w:cs="Times New Roman"/>
          <w:szCs w:val="24"/>
          <w:bdr w:val="nil"/>
          <w:lang w:eastAsia="cs-CZ"/>
        </w:rPr>
        <w:t>20].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z: http://mapaexekuci.cz/index.php/co-s-tim/teritorialita/</w:t>
      </w: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eastAsia="Times New Roman" w:cs="Times New Roman"/>
          <w:szCs w:val="24"/>
          <w:bdr w:val="nil"/>
          <w:shd w:val="clear" w:color="auto" w:fill="FFFFFF"/>
          <w:lang w:eastAsia="cs-CZ"/>
        </w:rPr>
      </w:pPr>
      <w:r w:rsidRPr="005C706D">
        <w:rPr>
          <w:rFonts w:eastAsia="Arial Unicode MS" w:cs="Times New Roman"/>
          <w:szCs w:val="24"/>
          <w:bdr w:val="nil"/>
          <w:shd w:val="clear" w:color="auto" w:fill="FFFFFF"/>
          <w:lang w:eastAsia="cs-CZ"/>
        </w:rPr>
        <w:t xml:space="preserve">Místní příslušnost exekutorů, tzv. teritorialita. Mapa exekucí </w:t>
      </w:r>
      <w:r w:rsidRPr="005C706D">
        <w:rPr>
          <w:rFonts w:eastAsia="Arial Unicode MS" w:cs="Times New Roman"/>
          <w:szCs w:val="24"/>
          <w:bdr w:val="nil"/>
          <w:shd w:val="clear" w:color="auto" w:fill="FFFFFF"/>
          <w:lang w:val="pt-PT" w:eastAsia="cs-CZ"/>
        </w:rPr>
        <w:t>[online]. [cit. 2019-08-</w:t>
      </w:r>
      <w:r w:rsidRPr="005C706D">
        <w:rPr>
          <w:rFonts w:eastAsia="Arial Unicode MS" w:cs="Times New Roman"/>
          <w:szCs w:val="24"/>
          <w:bdr w:val="nil"/>
          <w:shd w:val="clear" w:color="auto" w:fill="FFFFFF"/>
          <w:lang w:eastAsia="cs-CZ"/>
        </w:rPr>
        <w:t>25]. Dostupn</w:t>
      </w:r>
      <w:r w:rsidRPr="005C706D">
        <w:rPr>
          <w:rFonts w:eastAsia="Arial Unicode MS" w:cs="Times New Roman"/>
          <w:szCs w:val="24"/>
          <w:bdr w:val="nil"/>
          <w:shd w:val="clear" w:color="auto" w:fill="FFFFFF"/>
          <w:lang w:val="fr-FR" w:eastAsia="cs-CZ"/>
        </w:rPr>
        <w:t xml:space="preserve">é </w:t>
      </w:r>
      <w:r w:rsidRPr="005C706D">
        <w:rPr>
          <w:rFonts w:eastAsia="Arial Unicode MS" w:cs="Times New Roman"/>
          <w:szCs w:val="24"/>
          <w:bdr w:val="nil"/>
          <w:shd w:val="clear" w:color="auto" w:fill="FFFFFF"/>
          <w:lang w:eastAsia="cs-CZ"/>
        </w:rPr>
        <w:t xml:space="preserve">z: </w:t>
      </w:r>
      <w:hyperlink r:id="rId17" w:history="1">
        <w:r w:rsidRPr="005C706D">
          <w:rPr>
            <w:rFonts w:eastAsia="Arial Unicode MS" w:cs="Times New Roman"/>
            <w:szCs w:val="24"/>
            <w:bdr w:val="nil"/>
            <w:shd w:val="clear" w:color="auto" w:fill="FFFFFF"/>
            <w:lang w:eastAsia="cs-CZ"/>
          </w:rPr>
          <w:t>http://mapaexekuci.cz/index.php/co-s-tim/teritorialita/</w:t>
        </w:r>
      </w:hyperlink>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val="it-IT" w:eastAsia="cs-CZ"/>
        </w:rPr>
        <w:t>Pietro-de-treville.bloger.cz: K c</w:t>
      </w:r>
      <w:r w:rsidRPr="005C706D">
        <w:rPr>
          <w:rFonts w:eastAsia="Calibri" w:cs="Times New Roman"/>
          <w:szCs w:val="24"/>
          <w:bdr w:val="nil"/>
          <w:lang w:eastAsia="cs-CZ"/>
        </w:rPr>
        <w:t>̌ertu s dluhy [online]. [cit. 2019-08-05]. Dostupn</w:t>
      </w:r>
      <w:r w:rsidRPr="005C706D">
        <w:rPr>
          <w:rFonts w:eastAsia="Calibri" w:cs="Times New Roman"/>
          <w:szCs w:val="24"/>
          <w:bdr w:val="nil"/>
          <w:lang w:val="fr-FR" w:eastAsia="cs-CZ"/>
        </w:rPr>
        <w:t xml:space="preserve">é z: http://pietro-de-treville.bloger.cz </w:t>
      </w:r>
    </w:p>
    <w:p w:rsidR="00D3290D" w:rsidRPr="005C706D" w:rsidRDefault="00D3290D" w:rsidP="00D3290D">
      <w:pPr>
        <w:pBdr>
          <w:top w:val="nil"/>
          <w:left w:val="nil"/>
          <w:bottom w:val="nil"/>
          <w:right w:val="nil"/>
          <w:between w:val="nil"/>
          <w:bar w:val="nil"/>
        </w:pBdr>
        <w:spacing w:before="0" w:line="240" w:lineRule="auto"/>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line="240" w:lineRule="auto"/>
        <w:ind w:firstLine="0"/>
        <w:rPr>
          <w:rFonts w:eastAsia="Calibri" w:cs="Times New Roman"/>
          <w:szCs w:val="24"/>
          <w:bdr w:val="nil"/>
          <w:lang w:eastAsia="cs-CZ"/>
        </w:rPr>
      </w:pPr>
      <w:r w:rsidRPr="005C706D">
        <w:rPr>
          <w:rFonts w:eastAsia="Calibri" w:cs="Times New Roman"/>
          <w:szCs w:val="24"/>
          <w:bdr w:val="nil"/>
          <w:lang w:eastAsia="cs-CZ"/>
        </w:rPr>
        <w:t>Právní ú</w:t>
      </w:r>
      <w:r w:rsidRPr="005C706D">
        <w:rPr>
          <w:rFonts w:eastAsia="Calibri" w:cs="Times New Roman"/>
          <w:szCs w:val="24"/>
          <w:bdr w:val="nil"/>
          <w:lang w:val="pt-PT" w:eastAsia="cs-CZ"/>
        </w:rPr>
        <w:t>prava exeku</w:t>
      </w:r>
      <w:r w:rsidRPr="005C706D">
        <w:rPr>
          <w:rFonts w:eastAsia="Calibri" w:cs="Times New Roman"/>
          <w:szCs w:val="24"/>
          <w:bdr w:val="nil"/>
          <w:lang w:eastAsia="cs-CZ"/>
        </w:rPr>
        <w:t xml:space="preserve">čního řízení </w:t>
      </w:r>
      <w:r w:rsidRPr="005C706D">
        <w:rPr>
          <w:rFonts w:eastAsia="Calibri" w:cs="Times New Roman"/>
          <w:szCs w:val="24"/>
          <w:bdr w:val="nil"/>
          <w:lang w:val="pt-PT" w:eastAsia="cs-CZ"/>
        </w:rPr>
        <w:t>a judikatura [online]. [cit. 2019-08-</w:t>
      </w:r>
      <w:r w:rsidRPr="005C706D">
        <w:rPr>
          <w:rFonts w:eastAsia="Calibri" w:cs="Times New Roman"/>
          <w:szCs w:val="24"/>
          <w:bdr w:val="nil"/>
          <w:lang w:eastAsia="cs-CZ"/>
        </w:rPr>
        <w:t>25].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z: https://exekuce.justice.cz/pravni-uprava-exekucniho-rizeni-a-judikatura/</w:t>
      </w: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p>
    <w:p w:rsidR="00D3290D" w:rsidRPr="005C706D" w:rsidRDefault="00D3290D" w:rsidP="00D3290D">
      <w:pPr>
        <w:pBdr>
          <w:top w:val="nil"/>
          <w:left w:val="nil"/>
          <w:bottom w:val="nil"/>
          <w:right w:val="nil"/>
          <w:between w:val="nil"/>
          <w:bar w:val="nil"/>
        </w:pBdr>
        <w:spacing w:before="0"/>
        <w:ind w:firstLine="0"/>
        <w:rPr>
          <w:rFonts w:eastAsia="Calibri" w:cs="Times New Roman"/>
          <w:szCs w:val="24"/>
          <w:bdr w:val="nil"/>
          <w:lang w:eastAsia="cs-CZ"/>
        </w:rPr>
      </w:pPr>
      <w:r w:rsidRPr="005C706D">
        <w:rPr>
          <w:rFonts w:eastAsia="Calibri" w:cs="Times New Roman"/>
          <w:szCs w:val="24"/>
          <w:bdr w:val="nil"/>
          <w:lang w:eastAsia="cs-CZ"/>
        </w:rPr>
        <w:t>ŠTIKA, Marek. Pohledem exekutora: Chcete stavě</w:t>
      </w:r>
      <w:r w:rsidRPr="005C706D">
        <w:rPr>
          <w:rFonts w:eastAsia="Calibri" w:cs="Times New Roman"/>
          <w:szCs w:val="24"/>
          <w:bdr w:val="nil"/>
          <w:lang w:val="en-US" w:eastAsia="cs-CZ"/>
        </w:rPr>
        <w:t>t sn</w:t>
      </w:r>
      <w:r w:rsidRPr="005C706D">
        <w:rPr>
          <w:rFonts w:eastAsia="Calibri" w:cs="Times New Roman"/>
          <w:szCs w:val="24"/>
          <w:bdr w:val="nil"/>
          <w:lang w:eastAsia="cs-CZ"/>
        </w:rPr>
        <w:t>ě</w:t>
      </w:r>
      <w:r w:rsidRPr="005C706D">
        <w:rPr>
          <w:rFonts w:eastAsia="Calibri" w:cs="Times New Roman"/>
          <w:szCs w:val="24"/>
          <w:bdr w:val="nil"/>
          <w:lang w:val="de-DE" w:eastAsia="cs-CZ"/>
        </w:rPr>
        <w:t>hul</w:t>
      </w:r>
      <w:r w:rsidRPr="005C706D">
        <w:rPr>
          <w:rFonts w:eastAsia="Calibri" w:cs="Times New Roman"/>
          <w:szCs w:val="24"/>
          <w:bdr w:val="nil"/>
          <w:lang w:eastAsia="cs-CZ"/>
        </w:rPr>
        <w:t>á</w:t>
      </w:r>
      <w:r w:rsidRPr="005C706D">
        <w:rPr>
          <w:rFonts w:eastAsia="Calibri" w:cs="Times New Roman"/>
          <w:szCs w:val="24"/>
          <w:bdr w:val="nil"/>
          <w:lang w:val="pt-PT" w:eastAsia="cs-CZ"/>
        </w:rPr>
        <w:t>ka? [online]. 11.10.2018 [cit. 2019-0</w:t>
      </w:r>
      <w:r w:rsidRPr="005C706D">
        <w:rPr>
          <w:rFonts w:eastAsia="Calibri" w:cs="Times New Roman"/>
          <w:szCs w:val="24"/>
          <w:bdr w:val="nil"/>
          <w:lang w:eastAsia="cs-CZ"/>
        </w:rPr>
        <w:t>8-15]. Dostupn</w:t>
      </w:r>
      <w:r w:rsidRPr="005C706D">
        <w:rPr>
          <w:rFonts w:eastAsia="Calibri" w:cs="Times New Roman"/>
          <w:szCs w:val="24"/>
          <w:bdr w:val="nil"/>
          <w:lang w:val="fr-FR" w:eastAsia="cs-CZ"/>
        </w:rPr>
        <w:t xml:space="preserve">é </w:t>
      </w:r>
      <w:r w:rsidRPr="005C706D">
        <w:rPr>
          <w:rFonts w:eastAsia="Calibri" w:cs="Times New Roman"/>
          <w:szCs w:val="24"/>
          <w:bdr w:val="nil"/>
          <w:lang w:eastAsia="cs-CZ"/>
        </w:rPr>
        <w:t>z: https://www.ceska-justice.cz/blog/pohledem-exekutora-chcete-stavet-snehulaka/</w:t>
      </w:r>
    </w:p>
    <w:p w:rsidR="009B70FF" w:rsidRDefault="009B70FF" w:rsidP="009B70F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dn"/>
          <w:rFonts w:ascii="Times New Roman" w:eastAsia="Times New Roman" w:hAnsi="Times New Roman" w:cs="Times New Roman"/>
          <w:color w:val="333333"/>
          <w:sz w:val="32"/>
          <w:szCs w:val="32"/>
          <w:shd w:val="clear" w:color="auto" w:fill="FFFFFF"/>
        </w:rPr>
      </w:pPr>
    </w:p>
    <w:p w:rsidR="009B70FF" w:rsidRDefault="009B70FF" w:rsidP="009B70FF">
      <w:pPr>
        <w:pStyle w:val="Default"/>
        <w:spacing w:line="360" w:lineRule="auto"/>
        <w:jc w:val="both"/>
        <w:rPr>
          <w:rStyle w:val="dn"/>
          <w:b/>
          <w:bCs/>
          <w:sz w:val="28"/>
          <w:szCs w:val="28"/>
        </w:rPr>
      </w:pPr>
    </w:p>
    <w:p w:rsidR="009B70FF" w:rsidRDefault="009B70FF" w:rsidP="009B70FF">
      <w:pPr>
        <w:pStyle w:val="Default"/>
        <w:spacing w:line="360" w:lineRule="auto"/>
        <w:jc w:val="both"/>
        <w:rPr>
          <w:rStyle w:val="dn"/>
          <w:sz w:val="28"/>
          <w:szCs w:val="28"/>
        </w:rPr>
      </w:pPr>
      <w:r>
        <w:rPr>
          <w:rStyle w:val="dn"/>
          <w:b/>
          <w:bCs/>
          <w:sz w:val="28"/>
          <w:szCs w:val="28"/>
        </w:rPr>
        <w:t xml:space="preserve">Seznam zkratek </w:t>
      </w:r>
    </w:p>
    <w:p w:rsidR="009B70FF" w:rsidRDefault="009B70FF" w:rsidP="009B70FF">
      <w:pPr>
        <w:pStyle w:val="Default"/>
        <w:spacing w:line="360" w:lineRule="auto"/>
        <w:jc w:val="both"/>
        <w:rPr>
          <w:sz w:val="23"/>
          <w:szCs w:val="23"/>
        </w:rPr>
      </w:pPr>
    </w:p>
    <w:p w:rsidR="009B70FF" w:rsidRDefault="009B70FF" w:rsidP="009B70FF">
      <w:pPr>
        <w:pStyle w:val="Default"/>
        <w:spacing w:line="360" w:lineRule="auto"/>
        <w:jc w:val="both"/>
        <w:rPr>
          <w:rStyle w:val="dn"/>
          <w:sz w:val="23"/>
          <w:szCs w:val="23"/>
        </w:rPr>
      </w:pPr>
      <w:r>
        <w:rPr>
          <w:rStyle w:val="dn"/>
          <w:sz w:val="23"/>
          <w:szCs w:val="23"/>
        </w:rPr>
        <w:t>Č</w:t>
      </w:r>
      <w:r>
        <w:rPr>
          <w:rStyle w:val="dn"/>
          <w:sz w:val="23"/>
          <w:szCs w:val="23"/>
          <w:lang w:val="de-DE"/>
        </w:rPr>
        <w:t xml:space="preserve">R </w:t>
      </w:r>
      <w:r>
        <w:rPr>
          <w:rStyle w:val="dn"/>
          <w:sz w:val="23"/>
          <w:szCs w:val="23"/>
        </w:rPr>
        <w:t>– Česká republika.</w:t>
      </w:r>
    </w:p>
    <w:p w:rsidR="009B70FF" w:rsidRDefault="009B70FF" w:rsidP="009B70FF">
      <w:pPr>
        <w:pStyle w:val="Default"/>
        <w:spacing w:line="360" w:lineRule="auto"/>
        <w:jc w:val="both"/>
      </w:pPr>
      <w:r>
        <w:t>DŘ- zákon č. 280/2009 Sb., daňový řád, v platn</w:t>
      </w:r>
      <w:r>
        <w:rPr>
          <w:lang w:val="fr-FR"/>
        </w:rPr>
        <w:t>é</w:t>
      </w:r>
      <w:r>
        <w:t>m znění.</w:t>
      </w:r>
    </w:p>
    <w:p w:rsidR="009B70FF" w:rsidRDefault="009B70FF" w:rsidP="009B70FF">
      <w:pPr>
        <w:pStyle w:val="Default"/>
        <w:spacing w:line="360" w:lineRule="auto"/>
        <w:jc w:val="both"/>
      </w:pPr>
      <w:r>
        <w:rPr>
          <w:rStyle w:val="dn"/>
          <w:lang w:val="de-DE"/>
        </w:rPr>
        <w:t>EK</w:t>
      </w:r>
      <w:r>
        <w:rPr>
          <w:rStyle w:val="dn"/>
        </w:rPr>
        <w:t>ČR- Exekutorská komora Česk</w:t>
      </w:r>
      <w:r>
        <w:rPr>
          <w:rStyle w:val="dn"/>
          <w:lang w:val="fr-FR"/>
        </w:rPr>
        <w:t xml:space="preserve">é </w:t>
      </w:r>
      <w:r>
        <w:rPr>
          <w:rStyle w:val="dn"/>
        </w:rPr>
        <w:t>republiky</w:t>
      </w:r>
    </w:p>
    <w:p w:rsidR="009B70FF" w:rsidRDefault="009B70FF" w:rsidP="009B70FF">
      <w:pPr>
        <w:pStyle w:val="Default"/>
        <w:spacing w:line="360" w:lineRule="auto"/>
        <w:jc w:val="both"/>
      </w:pPr>
      <w:r>
        <w:t>EŘ- zákon č. 120/2001 Sb., o soudních exekutorech a exekuční činnosti (exekuční řád), ve znění pozdějších předpisů.</w:t>
      </w:r>
    </w:p>
    <w:p w:rsidR="009B70FF" w:rsidRDefault="009B70FF" w:rsidP="009B70FF">
      <w:pPr>
        <w:pStyle w:val="Default"/>
        <w:spacing w:line="360" w:lineRule="auto"/>
        <w:jc w:val="both"/>
      </w:pPr>
      <w:r>
        <w:t>OSŘ- zákon č. 99/1963 Sb., obč</w:t>
      </w:r>
      <w:r>
        <w:rPr>
          <w:lang w:val="da-DK"/>
        </w:rPr>
        <w:t>ansk</w:t>
      </w:r>
      <w:r>
        <w:t>ý soudní řád, ve znění pozdějších předpisů.</w:t>
      </w:r>
    </w:p>
    <w:p w:rsidR="009B70FF" w:rsidRDefault="009B70FF" w:rsidP="009B70FF">
      <w:pPr>
        <w:pStyle w:val="Default"/>
        <w:spacing w:line="360" w:lineRule="auto"/>
        <w:jc w:val="both"/>
      </w:pPr>
      <w:r>
        <w:t xml:space="preserve">SŘ – zákon č. 500/2004, správní řád, ve znění pozdějších předpisů. </w:t>
      </w:r>
    </w:p>
    <w:p w:rsidR="009B70FF" w:rsidRDefault="009B70FF" w:rsidP="009B70FF">
      <w:pPr>
        <w:pStyle w:val="Default"/>
        <w:spacing w:line="360" w:lineRule="auto"/>
        <w:jc w:val="both"/>
        <w:rPr>
          <w:rStyle w:val="dn"/>
          <w:b/>
          <w:bCs/>
          <w:sz w:val="28"/>
          <w:szCs w:val="28"/>
        </w:rPr>
      </w:pPr>
    </w:p>
    <w:p w:rsidR="009B70FF" w:rsidRDefault="009B70FF" w:rsidP="009B70FF">
      <w:pPr>
        <w:pStyle w:val="Default"/>
        <w:spacing w:line="360" w:lineRule="auto"/>
        <w:jc w:val="both"/>
        <w:rPr>
          <w:rStyle w:val="dn"/>
          <w:b/>
          <w:bCs/>
          <w:sz w:val="28"/>
          <w:szCs w:val="28"/>
        </w:rPr>
      </w:pPr>
    </w:p>
    <w:p w:rsidR="009B70FF" w:rsidRDefault="009B70FF" w:rsidP="009B70FF">
      <w:pPr>
        <w:pStyle w:val="Default"/>
        <w:spacing w:line="360" w:lineRule="auto"/>
        <w:jc w:val="both"/>
        <w:rPr>
          <w:rStyle w:val="dn"/>
          <w:sz w:val="28"/>
          <w:szCs w:val="28"/>
        </w:rPr>
      </w:pPr>
      <w:r>
        <w:rPr>
          <w:rStyle w:val="dn"/>
          <w:b/>
          <w:bCs/>
          <w:sz w:val="28"/>
          <w:szCs w:val="28"/>
        </w:rPr>
        <w:t xml:space="preserve">Seznam konzultantů </w:t>
      </w:r>
    </w:p>
    <w:p w:rsidR="009B70FF" w:rsidRDefault="009B70FF" w:rsidP="009B70FF">
      <w:pPr>
        <w:pStyle w:val="Default"/>
        <w:spacing w:line="360" w:lineRule="auto"/>
        <w:jc w:val="both"/>
      </w:pPr>
    </w:p>
    <w:p w:rsidR="009B70FF" w:rsidRDefault="009B70FF" w:rsidP="009B70FF">
      <w:pPr>
        <w:pStyle w:val="Default"/>
        <w:spacing w:line="360" w:lineRule="auto"/>
        <w:jc w:val="both"/>
      </w:pPr>
      <w:r>
        <w:t xml:space="preserve">JUDr. Tomáš Louda, Csc. </w:t>
      </w:r>
    </w:p>
    <w:p w:rsidR="009B70FF" w:rsidRDefault="009B70FF" w:rsidP="009B70FF">
      <w:pPr>
        <w:pStyle w:val="Default"/>
        <w:spacing w:line="360" w:lineRule="auto"/>
        <w:jc w:val="both"/>
      </w:pPr>
      <w:r>
        <w:t xml:space="preserve">Mgr. Zuzana Sobíšková </w:t>
      </w:r>
    </w:p>
    <w:p w:rsidR="009B70FF" w:rsidRDefault="009B70FF" w:rsidP="009B70FF">
      <w:pPr>
        <w:pStyle w:val="Default"/>
        <w:spacing w:line="360" w:lineRule="auto"/>
        <w:jc w:val="both"/>
      </w:pPr>
      <w:r>
        <w:t xml:space="preserve">Mgr. Predrag Kohoutek </w:t>
      </w:r>
    </w:p>
    <w:p w:rsidR="009B70FF" w:rsidRDefault="009B70FF" w:rsidP="009B70FF">
      <w:pPr>
        <w:pStyle w:val="Default"/>
        <w:spacing w:line="360" w:lineRule="auto"/>
        <w:jc w:val="both"/>
      </w:pPr>
      <w:r>
        <w:t xml:space="preserve">Ing. Pavel Bulant </w:t>
      </w:r>
    </w:p>
    <w:p w:rsidR="009B70FF" w:rsidRDefault="009B70FF" w:rsidP="009B70FF">
      <w:pPr>
        <w:pStyle w:val="Default"/>
        <w:spacing w:line="360" w:lineRule="auto"/>
        <w:jc w:val="both"/>
      </w:pPr>
      <w:r>
        <w:t>Ing. Tereza Kávová</w:t>
      </w:r>
    </w:p>
    <w:p w:rsidR="009B70FF" w:rsidRDefault="009B70FF" w:rsidP="00D3290D">
      <w:pPr>
        <w:pStyle w:val="Nadpis1"/>
        <w:pBdr>
          <w:top w:val="nil"/>
          <w:left w:val="nil"/>
          <w:bottom w:val="nil"/>
          <w:right w:val="nil"/>
          <w:between w:val="nil"/>
          <w:bar w:val="nil"/>
        </w:pBdr>
        <w:spacing w:before="280" w:after="280" w:line="240" w:lineRule="auto"/>
        <w:ind w:left="720" w:firstLine="0"/>
        <w:rPr>
          <w:rStyle w:val="dn"/>
          <w:rFonts w:eastAsia="Times New Roman" w:cs="Times New Roman"/>
          <w:b w:val="0"/>
          <w:bCs w:val="0"/>
          <w:color w:val="000000"/>
          <w:sz w:val="24"/>
          <w:szCs w:val="24"/>
          <w:u w:color="000000"/>
        </w:rPr>
      </w:pPr>
      <w:bookmarkStart w:id="133" w:name="_Toc18276759"/>
      <w:bookmarkEnd w:id="133"/>
    </w:p>
    <w:p w:rsidR="001A622A" w:rsidRDefault="001A622A" w:rsidP="001A622A">
      <w:pPr>
        <w:ind w:firstLine="0"/>
      </w:pPr>
    </w:p>
    <w:p w:rsidR="001A622A" w:rsidRPr="005C706D" w:rsidRDefault="001A622A" w:rsidP="001A622A">
      <w:pPr>
        <w:ind w:firstLine="0"/>
      </w:pPr>
    </w:p>
    <w:p w:rsidR="009B70FF" w:rsidRDefault="009B70FF" w:rsidP="009B70FF">
      <w:pPr>
        <w:pStyle w:val="Nadpis1"/>
        <w:ind w:left="720" w:hanging="360"/>
        <w:rPr>
          <w:rStyle w:val="dn"/>
          <w:color w:val="000000"/>
          <w:u w:color="000000"/>
        </w:rPr>
      </w:pPr>
      <w:bookmarkStart w:id="134" w:name="_Toc18276760"/>
      <w:bookmarkStart w:id="135" w:name="_Toc18313981"/>
      <w:bookmarkStart w:id="136" w:name="_Toc44"/>
      <w:r>
        <w:rPr>
          <w:rStyle w:val="dn"/>
          <w:color w:val="000000"/>
          <w:u w:color="000000"/>
        </w:rPr>
        <w:t>Přílohy</w:t>
      </w:r>
      <w:bookmarkEnd w:id="134"/>
      <w:bookmarkEnd w:id="135"/>
      <w:r>
        <w:rPr>
          <w:rStyle w:val="dn"/>
          <w:color w:val="000000"/>
          <w:u w:color="000000"/>
        </w:rPr>
        <w:t xml:space="preserve"> </w:t>
      </w:r>
      <w:bookmarkEnd w:id="136"/>
    </w:p>
    <w:p w:rsidR="009B70FF" w:rsidRDefault="009B70FF" w:rsidP="009B70FF">
      <w:pPr>
        <w:pStyle w:val="Default"/>
        <w:spacing w:line="360" w:lineRule="auto"/>
        <w:jc w:val="both"/>
        <w:rPr>
          <w:rStyle w:val="dn"/>
          <w:b/>
          <w:bCs/>
          <w:sz w:val="23"/>
          <w:szCs w:val="23"/>
        </w:rPr>
      </w:pPr>
    </w:p>
    <w:p w:rsidR="009B70FF" w:rsidRDefault="009B70FF" w:rsidP="009B70FF">
      <w:pPr>
        <w:pStyle w:val="Nadpis2"/>
        <w:rPr>
          <w:rStyle w:val="dn"/>
          <w:b w:val="0"/>
          <w:bCs w:val="0"/>
          <w:color w:val="000000"/>
          <w:sz w:val="24"/>
          <w:szCs w:val="24"/>
          <w:u w:color="000000"/>
        </w:rPr>
      </w:pPr>
      <w:bookmarkStart w:id="137" w:name="_Toc45"/>
      <w:bookmarkStart w:id="138" w:name="_Toc18276761"/>
      <w:bookmarkStart w:id="139" w:name="_Toc18313982"/>
      <w:r>
        <w:rPr>
          <w:rStyle w:val="dn"/>
          <w:color w:val="000000"/>
          <w:sz w:val="24"/>
          <w:szCs w:val="24"/>
          <w:u w:color="000000"/>
        </w:rPr>
        <w:t>Příloha č. 1</w:t>
      </w:r>
      <w:r>
        <w:rPr>
          <w:rStyle w:val="dn"/>
          <w:b w:val="0"/>
          <w:bCs w:val="0"/>
          <w:color w:val="000000"/>
          <w:sz w:val="24"/>
          <w:szCs w:val="24"/>
          <w:u w:color="000000"/>
        </w:rPr>
        <w:t xml:space="preserve">- </w:t>
      </w:r>
      <w:r>
        <w:rPr>
          <w:rStyle w:val="dn"/>
          <w:color w:val="000000"/>
          <w:sz w:val="24"/>
          <w:szCs w:val="24"/>
          <w:u w:color="000000"/>
          <w:lang w:val="pt-PT"/>
        </w:rPr>
        <w:t>Mgr. Sob</w:t>
      </w:r>
      <w:r>
        <w:rPr>
          <w:rStyle w:val="dn"/>
          <w:color w:val="000000"/>
          <w:sz w:val="24"/>
          <w:szCs w:val="24"/>
          <w:u w:color="000000"/>
        </w:rPr>
        <w:t>íšková, Zuzana, Argumenty proti zavedení místní příslušnosti exekutorů a zrušení práva volby exekutora oprávněným</w:t>
      </w:r>
      <w:bookmarkEnd w:id="137"/>
      <w:bookmarkEnd w:id="138"/>
      <w:bookmarkEnd w:id="139"/>
    </w:p>
    <w:p w:rsidR="009B70FF" w:rsidRDefault="009B70FF" w:rsidP="009B70FF">
      <w:pPr>
        <w:pStyle w:val="Default"/>
        <w:spacing w:line="360" w:lineRule="auto"/>
        <w:jc w:val="both"/>
      </w:pPr>
    </w:p>
    <w:p w:rsidR="009B70FF" w:rsidRDefault="009B70FF" w:rsidP="009B70FF">
      <w:pPr>
        <w:spacing w:line="240" w:lineRule="auto"/>
        <w:rPr>
          <w:rStyle w:val="dn"/>
          <w:rFonts w:eastAsia="Times New Roman" w:cs="Times New Roman"/>
          <w:szCs w:val="24"/>
        </w:rPr>
      </w:pPr>
      <w:r>
        <w:rPr>
          <w:rStyle w:val="dn"/>
          <w:b/>
          <w:bCs/>
          <w:szCs w:val="24"/>
        </w:rPr>
        <w:t xml:space="preserve">Argumenty proti zavedení místní příslušnosti exekutorů a zrušení práva volby exekutora oprávněným: </w:t>
      </w:r>
    </w:p>
    <w:p w:rsidR="009B70FF" w:rsidRDefault="009B70FF" w:rsidP="009B70FF">
      <w:pPr>
        <w:spacing w:line="240" w:lineRule="auto"/>
        <w:rPr>
          <w:rStyle w:val="dn"/>
          <w:b/>
          <w:bCs/>
        </w:rPr>
      </w:pPr>
    </w:p>
    <w:p w:rsidR="009B70FF" w:rsidRDefault="009B70FF" w:rsidP="009B70FF">
      <w:pPr>
        <w:spacing w:line="240" w:lineRule="auto"/>
        <w:rPr>
          <w:rStyle w:val="dn"/>
          <w:rFonts w:eastAsia="Times New Roman" w:cs="Times New Roman"/>
          <w:szCs w:val="24"/>
        </w:rPr>
      </w:pPr>
      <w:r>
        <w:rPr>
          <w:rStyle w:val="dn"/>
          <w:b/>
          <w:bCs/>
          <w:szCs w:val="24"/>
        </w:rPr>
        <w:t xml:space="preserve">1) Záloha na náklady exekuce </w:t>
      </w:r>
    </w:p>
    <w:p w:rsidR="009B70FF" w:rsidRDefault="009B70FF" w:rsidP="009B70FF">
      <w:pPr>
        <w:spacing w:after="70" w:line="240" w:lineRule="auto"/>
        <w:rPr>
          <w:rStyle w:val="dn"/>
          <w:rFonts w:eastAsia="Times New Roman" w:cs="Times New Roman"/>
          <w:szCs w:val="24"/>
        </w:rPr>
      </w:pPr>
    </w:p>
    <w:p w:rsidR="009B70FF" w:rsidRDefault="009B70FF" w:rsidP="007A2179">
      <w:pPr>
        <w:numPr>
          <w:ilvl w:val="0"/>
          <w:numId w:val="25"/>
        </w:numPr>
        <w:pBdr>
          <w:top w:val="nil"/>
          <w:left w:val="nil"/>
          <w:bottom w:val="nil"/>
          <w:right w:val="nil"/>
          <w:between w:val="nil"/>
          <w:bar w:val="nil"/>
        </w:pBdr>
        <w:spacing w:before="0" w:after="70" w:line="240" w:lineRule="auto"/>
        <w:rPr>
          <w:szCs w:val="24"/>
        </w:rPr>
      </w:pPr>
      <w:r>
        <w:rPr>
          <w:rStyle w:val="dn"/>
          <w:szCs w:val="24"/>
        </w:rPr>
        <w:t>Zákon dává exekutorovi právo požadovat po oprávněn</w:t>
      </w:r>
      <w:r>
        <w:rPr>
          <w:rStyle w:val="dn"/>
          <w:szCs w:val="24"/>
          <w:lang w:val="fr-FR"/>
        </w:rPr>
        <w:t>é</w:t>
      </w:r>
      <w:r>
        <w:rPr>
          <w:rStyle w:val="dn"/>
          <w:szCs w:val="24"/>
          <w:lang w:val="pt-PT"/>
        </w:rPr>
        <w:t>m p</w:t>
      </w:r>
      <w:r>
        <w:rPr>
          <w:rStyle w:val="dn"/>
          <w:szCs w:val="24"/>
        </w:rPr>
        <w:t>řed zahájením exekuce zálohu na náklady exekuce. Díky konkurenčnímu prostředí exekutorů ji dnes t</w:t>
      </w:r>
      <w:r>
        <w:rPr>
          <w:rStyle w:val="dn"/>
          <w:szCs w:val="24"/>
          <w:lang w:val="fr-FR"/>
        </w:rPr>
        <w:t>é</w:t>
      </w:r>
      <w:r>
        <w:rPr>
          <w:rStyle w:val="dn"/>
          <w:szCs w:val="24"/>
        </w:rPr>
        <w:t>měř žádný exekutor po oprávněn</w:t>
      </w:r>
      <w:r>
        <w:rPr>
          <w:rStyle w:val="dn"/>
          <w:szCs w:val="24"/>
          <w:lang w:val="fr-FR"/>
        </w:rPr>
        <w:t>é</w:t>
      </w:r>
      <w:r>
        <w:rPr>
          <w:rStyle w:val="dn"/>
          <w:szCs w:val="24"/>
        </w:rPr>
        <w:t xml:space="preserve">m nežádá – uplatňuje proklientský přístup. </w:t>
      </w:r>
    </w:p>
    <w:p w:rsidR="009B70FF" w:rsidRDefault="009B70FF" w:rsidP="007A2179">
      <w:pPr>
        <w:numPr>
          <w:ilvl w:val="0"/>
          <w:numId w:val="25"/>
        </w:numPr>
        <w:pBdr>
          <w:top w:val="nil"/>
          <w:left w:val="nil"/>
          <w:bottom w:val="nil"/>
          <w:right w:val="nil"/>
          <w:between w:val="nil"/>
          <w:bar w:val="nil"/>
        </w:pBdr>
        <w:spacing w:before="0" w:after="70" w:line="240" w:lineRule="auto"/>
        <w:rPr>
          <w:szCs w:val="24"/>
        </w:rPr>
      </w:pPr>
      <w:r>
        <w:rPr>
          <w:rStyle w:val="dn"/>
          <w:szCs w:val="24"/>
        </w:rPr>
        <w:t>Jedním z hlavních cílů soudních exekutorů, kteří podporují zavedení teritoriality, je prosazení zakotvení povinnosti oprávněný platit exekutorovi zálohu na náklady exekuce. Záloha na náklady by měla být postavena na roveň soudním poplatkům. V předložen</w:t>
      </w:r>
      <w:r>
        <w:rPr>
          <w:rStyle w:val="dn"/>
          <w:szCs w:val="24"/>
          <w:lang w:val="fr-FR"/>
        </w:rPr>
        <w:t xml:space="preserve">é </w:t>
      </w:r>
      <w:r>
        <w:rPr>
          <w:rStyle w:val="dn"/>
          <w:szCs w:val="24"/>
        </w:rPr>
        <w:t>novele takov</w:t>
      </w:r>
      <w:r>
        <w:rPr>
          <w:rStyle w:val="dn"/>
          <w:szCs w:val="24"/>
          <w:lang w:val="fr-FR"/>
        </w:rPr>
        <w:t xml:space="preserve">é </w:t>
      </w:r>
      <w:r>
        <w:rPr>
          <w:rStyle w:val="dn"/>
          <w:szCs w:val="24"/>
        </w:rPr>
        <w:t>ustavení prozatím chybí, nicm</w:t>
      </w:r>
      <w:r>
        <w:rPr>
          <w:rStyle w:val="dn"/>
          <w:szCs w:val="24"/>
          <w:lang w:val="fr-FR"/>
        </w:rPr>
        <w:t>é</w:t>
      </w:r>
      <w:r>
        <w:rPr>
          <w:rStyle w:val="dn"/>
          <w:szCs w:val="24"/>
        </w:rPr>
        <w:t>ně v další</w:t>
      </w:r>
      <w:r>
        <w:rPr>
          <w:rStyle w:val="dn"/>
          <w:szCs w:val="24"/>
          <w:lang w:val="de-DE"/>
        </w:rPr>
        <w:t>ch n</w:t>
      </w:r>
      <w:r>
        <w:rPr>
          <w:rStyle w:val="dn"/>
          <w:szCs w:val="24"/>
        </w:rPr>
        <w:t xml:space="preserve">ávrzích se jistě objeví. </w:t>
      </w:r>
    </w:p>
    <w:p w:rsidR="009B70FF" w:rsidRDefault="009B70FF" w:rsidP="007A2179">
      <w:pPr>
        <w:numPr>
          <w:ilvl w:val="0"/>
          <w:numId w:val="25"/>
        </w:numPr>
        <w:pBdr>
          <w:top w:val="nil"/>
          <w:left w:val="nil"/>
          <w:bottom w:val="nil"/>
          <w:right w:val="nil"/>
          <w:between w:val="nil"/>
          <w:bar w:val="nil"/>
        </w:pBdr>
        <w:spacing w:before="0" w:line="240" w:lineRule="auto"/>
        <w:rPr>
          <w:szCs w:val="24"/>
        </w:rPr>
      </w:pPr>
      <w:r>
        <w:rPr>
          <w:rStyle w:val="dn"/>
          <w:szCs w:val="24"/>
        </w:rPr>
        <w:t>Jakmile zanikne konkurenční prostředí mezi exekutory a oprávněný tedy nebude mít možnost volby exekutora, exekutor vždy bude při zahájení exekuce vyžadovat zaplacení zálohy na náklady exekuce (pokud to nebude přímo zá</w:t>
      </w:r>
      <w:r>
        <w:rPr>
          <w:rStyle w:val="dn"/>
          <w:szCs w:val="24"/>
          <w:lang w:val="de-DE"/>
        </w:rPr>
        <w:t>konn</w:t>
      </w:r>
      <w:r>
        <w:rPr>
          <w:rStyle w:val="dn"/>
          <w:szCs w:val="24"/>
        </w:rPr>
        <w:t>á povinnost). Pokud oprávněný požadovanou zálohu nezaplatí, je to zá</w:t>
      </w:r>
      <w:r>
        <w:rPr>
          <w:rStyle w:val="dn"/>
          <w:szCs w:val="24"/>
          <w:lang w:val="de-DE"/>
        </w:rPr>
        <w:t>konn</w:t>
      </w:r>
      <w:r>
        <w:rPr>
          <w:rStyle w:val="dn"/>
          <w:szCs w:val="24"/>
        </w:rPr>
        <w:t>ý důvod pro zastavení exekuce ještě př</w:t>
      </w:r>
      <w:r>
        <w:rPr>
          <w:rStyle w:val="dn"/>
          <w:szCs w:val="24"/>
          <w:lang w:val="en-US"/>
        </w:rPr>
        <w:t>ed t</w:t>
      </w:r>
      <w:r>
        <w:rPr>
          <w:rStyle w:val="dn"/>
          <w:szCs w:val="24"/>
        </w:rPr>
        <w:t>ím, než vůbec začala. Pokud tedy oprávněný chce, aby jeho pohledávka byla vymáhána, nezbude mu, než zálohu na výzvu exekutora zaplatit a doufat, že exekutor jeho pohledávku včetně nevratn</w:t>
      </w:r>
      <w:r>
        <w:rPr>
          <w:rStyle w:val="dn"/>
          <w:szCs w:val="24"/>
          <w:lang w:val="fr-FR"/>
        </w:rPr>
        <w:t xml:space="preserve">é </w:t>
      </w:r>
      <w:r>
        <w:rPr>
          <w:rStyle w:val="dn"/>
          <w:szCs w:val="24"/>
        </w:rPr>
        <w:t>zálohy vymůž</w:t>
      </w:r>
      <w:r>
        <w:rPr>
          <w:rStyle w:val="dn"/>
          <w:szCs w:val="24"/>
          <w:lang w:val="it-IT"/>
        </w:rPr>
        <w:t xml:space="preserve">e. </w:t>
      </w:r>
    </w:p>
    <w:p w:rsidR="009B70FF" w:rsidRDefault="009B70FF" w:rsidP="009B70FF">
      <w:pPr>
        <w:spacing w:line="240" w:lineRule="auto"/>
        <w:rPr>
          <w:rStyle w:val="dn"/>
          <w:rFonts w:eastAsia="Times New Roman" w:cs="Times New Roman"/>
          <w:b/>
          <w:bCs/>
          <w:szCs w:val="24"/>
        </w:rPr>
      </w:pPr>
    </w:p>
    <w:p w:rsidR="009B70FF" w:rsidRDefault="009B70FF" w:rsidP="009B70FF">
      <w:pPr>
        <w:spacing w:line="240" w:lineRule="auto"/>
        <w:rPr>
          <w:rStyle w:val="dn"/>
          <w:rFonts w:eastAsia="Times New Roman" w:cs="Times New Roman"/>
          <w:szCs w:val="24"/>
        </w:rPr>
      </w:pPr>
      <w:r>
        <w:rPr>
          <w:rStyle w:val="dn"/>
          <w:b/>
          <w:bCs/>
          <w:szCs w:val="24"/>
        </w:rPr>
        <w:t xml:space="preserve">2) Motivace exekutora vymoci pohledávku </w:t>
      </w:r>
    </w:p>
    <w:p w:rsidR="009B70FF" w:rsidRDefault="009B70FF" w:rsidP="009B70FF">
      <w:pPr>
        <w:spacing w:after="70" w:line="240" w:lineRule="auto"/>
        <w:rPr>
          <w:rStyle w:val="dn"/>
          <w:rFonts w:eastAsia="Times New Roman" w:cs="Times New Roman"/>
          <w:szCs w:val="24"/>
        </w:rPr>
      </w:pPr>
    </w:p>
    <w:p w:rsidR="009B70FF" w:rsidRDefault="009B70FF" w:rsidP="007A2179">
      <w:pPr>
        <w:numPr>
          <w:ilvl w:val="0"/>
          <w:numId w:val="25"/>
        </w:numPr>
        <w:pBdr>
          <w:top w:val="nil"/>
          <w:left w:val="nil"/>
          <w:bottom w:val="nil"/>
          <w:right w:val="nil"/>
          <w:between w:val="nil"/>
          <w:bar w:val="nil"/>
        </w:pBdr>
        <w:spacing w:before="0" w:after="70" w:line="240" w:lineRule="auto"/>
        <w:rPr>
          <w:szCs w:val="24"/>
        </w:rPr>
      </w:pPr>
      <w:r>
        <w:rPr>
          <w:rStyle w:val="dn"/>
          <w:szCs w:val="24"/>
        </w:rPr>
        <w:t>S bodem 1) přímo souvisí motivace exekutora efektivně a všemi dostupnými zá</w:t>
      </w:r>
      <w:r>
        <w:rPr>
          <w:rStyle w:val="dn"/>
          <w:szCs w:val="24"/>
          <w:lang w:val="de-DE"/>
        </w:rPr>
        <w:t>konn</w:t>
      </w:r>
      <w:r>
        <w:rPr>
          <w:rStyle w:val="dn"/>
          <w:szCs w:val="24"/>
        </w:rPr>
        <w:t>ými prostředky vymáhat pohledávku oprávněn</w:t>
      </w:r>
      <w:r>
        <w:rPr>
          <w:rStyle w:val="dn"/>
          <w:szCs w:val="24"/>
          <w:lang w:val="fr-FR"/>
        </w:rPr>
        <w:t>é</w:t>
      </w:r>
      <w:r>
        <w:rPr>
          <w:rStyle w:val="dn"/>
          <w:szCs w:val="24"/>
          <w:lang w:val="it-IT"/>
        </w:rPr>
        <w:t xml:space="preserve">ho. </w:t>
      </w:r>
    </w:p>
    <w:p w:rsidR="009B70FF" w:rsidRDefault="009B70FF" w:rsidP="007A2179">
      <w:pPr>
        <w:numPr>
          <w:ilvl w:val="0"/>
          <w:numId w:val="25"/>
        </w:numPr>
        <w:pBdr>
          <w:top w:val="nil"/>
          <w:left w:val="nil"/>
          <w:bottom w:val="nil"/>
          <w:right w:val="nil"/>
          <w:between w:val="nil"/>
          <w:bar w:val="nil"/>
        </w:pBdr>
        <w:spacing w:before="0" w:after="70" w:line="240" w:lineRule="auto"/>
        <w:rPr>
          <w:szCs w:val="24"/>
        </w:rPr>
      </w:pPr>
      <w:r>
        <w:rPr>
          <w:rStyle w:val="dn"/>
          <w:szCs w:val="24"/>
        </w:rPr>
        <w:t>Exekutor si z oprávněným zaplacen</w:t>
      </w:r>
      <w:r>
        <w:rPr>
          <w:rStyle w:val="dn"/>
          <w:szCs w:val="24"/>
          <w:lang w:val="fr-FR"/>
        </w:rPr>
        <w:t xml:space="preserve">é </w:t>
      </w:r>
      <w:r>
        <w:rPr>
          <w:rStyle w:val="dn"/>
          <w:szCs w:val="24"/>
        </w:rPr>
        <w:t xml:space="preserve">zálohy kryje náklady exekuce neúspěšných kauz. Exekutor, který má </w:t>
      </w:r>
      <w:r>
        <w:rPr>
          <w:rStyle w:val="dn"/>
          <w:szCs w:val="24"/>
          <w:lang w:val="nl-NL"/>
        </w:rPr>
        <w:t>od opr</w:t>
      </w:r>
      <w:r>
        <w:rPr>
          <w:rStyle w:val="dn"/>
          <w:szCs w:val="24"/>
        </w:rPr>
        <w:t>ávněn</w:t>
      </w:r>
      <w:r>
        <w:rPr>
          <w:rStyle w:val="dn"/>
          <w:szCs w:val="24"/>
          <w:lang w:val="fr-FR"/>
        </w:rPr>
        <w:t>é</w:t>
      </w:r>
      <w:r>
        <w:rPr>
          <w:rStyle w:val="dn"/>
          <w:szCs w:val="24"/>
        </w:rPr>
        <w:t>ho uhrazenu zálohu na náklady exekuce, má „sv</w:t>
      </w:r>
      <w:r>
        <w:rPr>
          <w:rStyle w:val="dn"/>
          <w:szCs w:val="24"/>
          <w:lang w:val="fr-FR"/>
        </w:rPr>
        <w:t xml:space="preserve">é </w:t>
      </w:r>
      <w:r>
        <w:rPr>
          <w:rStyle w:val="dn"/>
          <w:szCs w:val="24"/>
        </w:rPr>
        <w:t>jisté“ a není příliš motivován vymáhat pohledávku oprávněn</w:t>
      </w:r>
      <w:r>
        <w:rPr>
          <w:rStyle w:val="dn"/>
          <w:szCs w:val="24"/>
          <w:lang w:val="fr-FR"/>
        </w:rPr>
        <w:t>é</w:t>
      </w:r>
      <w:r>
        <w:rPr>
          <w:rStyle w:val="dn"/>
          <w:szCs w:val="24"/>
        </w:rPr>
        <w:t>ho. Pokud by začal v exekuci činit řádně všechny potřebné úkony k vymožení pohledávky oprávněn</w:t>
      </w:r>
      <w:r>
        <w:rPr>
          <w:rStyle w:val="dn"/>
          <w:szCs w:val="24"/>
          <w:lang w:val="fr-FR"/>
        </w:rPr>
        <w:t>é</w:t>
      </w:r>
      <w:r>
        <w:rPr>
          <w:rStyle w:val="dn"/>
          <w:szCs w:val="24"/>
        </w:rPr>
        <w:t xml:space="preserve">ho, stálo by ho to náklady, jejichž návratnost není jistá a mohl by se tak velmi snadno dostat zase na nulu. </w:t>
      </w:r>
    </w:p>
    <w:p w:rsidR="009B70FF" w:rsidRDefault="009B70FF" w:rsidP="007A2179">
      <w:pPr>
        <w:numPr>
          <w:ilvl w:val="0"/>
          <w:numId w:val="25"/>
        </w:numPr>
        <w:pBdr>
          <w:top w:val="nil"/>
          <w:left w:val="nil"/>
          <w:bottom w:val="nil"/>
          <w:right w:val="nil"/>
          <w:between w:val="nil"/>
          <w:bar w:val="nil"/>
        </w:pBdr>
        <w:spacing w:before="0" w:line="240" w:lineRule="auto"/>
        <w:rPr>
          <w:szCs w:val="24"/>
        </w:rPr>
      </w:pPr>
      <w:r>
        <w:rPr>
          <w:rStyle w:val="dn"/>
          <w:szCs w:val="24"/>
        </w:rPr>
        <w:t>Takto uvažující exekutor (většina těch, kteří prosazují teritorialitu) zpravidla provede v exekuci jen formální úkony tzv. od stolu a bude úspěšný jen tam, kde bude povinný ochoten dobrovolně plnit na jeho výzvu. Další náklady investovat nebude a exekuci jako neúspěšnou zastaví. Výsledkem bude, že oprávněný vynaloží nemal</w:t>
      </w:r>
      <w:r>
        <w:rPr>
          <w:rStyle w:val="dn"/>
          <w:szCs w:val="24"/>
          <w:lang w:val="fr-FR"/>
        </w:rPr>
        <w:t xml:space="preserve">é </w:t>
      </w:r>
      <w:r>
        <w:rPr>
          <w:rStyle w:val="dn"/>
          <w:szCs w:val="24"/>
        </w:rPr>
        <w:t>peníze na náklady exekutorů bez vymožení sv</w:t>
      </w:r>
      <w:r>
        <w:rPr>
          <w:rStyle w:val="dn"/>
          <w:szCs w:val="24"/>
          <w:lang w:val="fr-FR"/>
        </w:rPr>
        <w:t xml:space="preserve">é </w:t>
      </w:r>
      <w:r>
        <w:rPr>
          <w:rStyle w:val="dn"/>
          <w:szCs w:val="24"/>
        </w:rPr>
        <w:t xml:space="preserve">pohledávky. </w:t>
      </w:r>
    </w:p>
    <w:p w:rsidR="009B70FF" w:rsidRDefault="009B70FF" w:rsidP="009B70FF">
      <w:pPr>
        <w:spacing w:line="240" w:lineRule="auto"/>
        <w:rPr>
          <w:rStyle w:val="dn"/>
          <w:rFonts w:eastAsia="Times New Roman" w:cs="Times New Roman"/>
          <w:b/>
          <w:bCs/>
          <w:szCs w:val="24"/>
        </w:rPr>
      </w:pPr>
    </w:p>
    <w:p w:rsidR="009B70FF" w:rsidRDefault="009B70FF" w:rsidP="009B70FF">
      <w:pPr>
        <w:spacing w:line="240" w:lineRule="auto"/>
        <w:rPr>
          <w:rStyle w:val="dn"/>
          <w:rFonts w:eastAsia="Times New Roman" w:cs="Times New Roman"/>
          <w:b/>
          <w:bCs/>
          <w:szCs w:val="24"/>
        </w:rPr>
      </w:pPr>
    </w:p>
    <w:p w:rsidR="009B70FF" w:rsidRDefault="009B70FF" w:rsidP="009B70FF">
      <w:pPr>
        <w:spacing w:line="240" w:lineRule="auto"/>
        <w:rPr>
          <w:rStyle w:val="dn"/>
          <w:rFonts w:eastAsia="Times New Roman" w:cs="Times New Roman"/>
          <w:b/>
          <w:bCs/>
          <w:szCs w:val="24"/>
        </w:rPr>
      </w:pPr>
      <w:r>
        <w:rPr>
          <w:rStyle w:val="dn"/>
          <w:b/>
          <w:bCs/>
          <w:szCs w:val="24"/>
          <w:lang w:val="en-US"/>
        </w:rPr>
        <w:t>3) Sout</w:t>
      </w:r>
      <w:r>
        <w:rPr>
          <w:rStyle w:val="dn"/>
          <w:b/>
          <w:bCs/>
          <w:szCs w:val="24"/>
        </w:rPr>
        <w:t xml:space="preserve">ěž exekutorů </w:t>
      </w:r>
    </w:p>
    <w:p w:rsidR="009B70FF" w:rsidRDefault="009B70FF" w:rsidP="009B70FF">
      <w:pPr>
        <w:spacing w:line="240" w:lineRule="auto"/>
        <w:rPr>
          <w:rStyle w:val="dn"/>
          <w:rFonts w:eastAsia="Times New Roman" w:cs="Times New Roman"/>
          <w:szCs w:val="24"/>
        </w:rPr>
      </w:pPr>
      <w:r>
        <w:rPr>
          <w:rStyle w:val="dn"/>
          <w:szCs w:val="24"/>
        </w:rPr>
        <w:t xml:space="preserve">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Myslím, že je na místě tak</w:t>
      </w:r>
      <w:r>
        <w:rPr>
          <w:rStyle w:val="dn"/>
          <w:szCs w:val="24"/>
          <w:lang w:val="fr-FR"/>
        </w:rPr>
        <w:t xml:space="preserve">é </w:t>
      </w:r>
      <w:r>
        <w:rPr>
          <w:rStyle w:val="dn"/>
          <w:szCs w:val="24"/>
        </w:rPr>
        <w:t xml:space="preserve">připomenout, že důvodová zpráva k zákonu č. 120/2001 Sb. zdůvodňovala zavedení soudních exekutorů právě tím, že tento soukromý prvek + podnikatelský status exekutora, je právě tím hnacím motorem efektivity vymáhání práva v ČR.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 xml:space="preserve">Nyní se uvažuje dokonce o ústavním zakotvení soudního exekutora jako nepodnikatele, tedy státní úřad. Právní úprava se tak postupně vrací před rok 2001, kdy právo v ČR vymáhaly pouze soudy prostřednictvím svých vykonavatelů. Státem placený na výsledku nezainteresovaný vykonavatel, nikdy nebude tak úspěšný jako exekutor - podnikatel. </w:t>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b/>
          <w:bCs/>
          <w:szCs w:val="24"/>
        </w:rPr>
      </w:pPr>
      <w:r>
        <w:rPr>
          <w:rStyle w:val="dn"/>
          <w:b/>
          <w:bCs/>
          <w:szCs w:val="24"/>
        </w:rPr>
        <w:t xml:space="preserve">4) Požadavek nezávislosti a nestrannosti soudního exekutora </w:t>
      </w:r>
    </w:p>
    <w:p w:rsidR="009B70FF" w:rsidRDefault="009B70FF" w:rsidP="009B70FF">
      <w:pPr>
        <w:spacing w:line="240" w:lineRule="auto"/>
        <w:rPr>
          <w:rStyle w:val="dn"/>
          <w:rFonts w:eastAsia="Times New Roman" w:cs="Times New Roman"/>
          <w:szCs w:val="24"/>
        </w:rPr>
      </w:pP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Jako argument zejm</w:t>
      </w:r>
      <w:r>
        <w:rPr>
          <w:rStyle w:val="dn"/>
          <w:szCs w:val="24"/>
          <w:lang w:val="fr-FR"/>
        </w:rPr>
        <w:t>é</w:t>
      </w:r>
      <w:r>
        <w:rPr>
          <w:rStyle w:val="dn"/>
          <w:szCs w:val="24"/>
        </w:rPr>
        <w:t>na z ú</w:t>
      </w:r>
      <w:r>
        <w:rPr>
          <w:rStyle w:val="dn"/>
          <w:szCs w:val="24"/>
          <w:lang w:val="de-DE"/>
        </w:rPr>
        <w:t xml:space="preserve">st pana Dr. Dientsbiera </w:t>
      </w:r>
      <w:r>
        <w:rPr>
          <w:rStyle w:val="dn"/>
          <w:szCs w:val="24"/>
        </w:rPr>
        <w:t>často zaznívá, že exekutor by měl být nezávislý a nestranný podobně jako třeba soudce. Dle jeho slov si žalobce tak</w:t>
      </w:r>
      <w:r>
        <w:rPr>
          <w:rStyle w:val="dn"/>
          <w:szCs w:val="24"/>
          <w:lang w:val="fr-FR"/>
        </w:rPr>
        <w:t xml:space="preserve">é </w:t>
      </w:r>
      <w:r>
        <w:rPr>
          <w:rStyle w:val="dn"/>
          <w:szCs w:val="24"/>
        </w:rPr>
        <w:t>nevybírá, který soudce mu bude soudit jeho spor…. Tento argument považuji za zcela absurdní, svědčící buď o naprost</w:t>
      </w:r>
      <w:r>
        <w:rPr>
          <w:rStyle w:val="dn"/>
          <w:szCs w:val="24"/>
          <w:lang w:val="fr-FR"/>
        </w:rPr>
        <w:t>é</w:t>
      </w:r>
      <w:r>
        <w:rPr>
          <w:rStyle w:val="dn"/>
          <w:szCs w:val="24"/>
        </w:rPr>
        <w:t xml:space="preserve">m nepochopení role soudce a role exekutora, nebo naopak o zcela účelově </w:t>
      </w:r>
      <w:r>
        <w:rPr>
          <w:rStyle w:val="dn"/>
          <w:szCs w:val="24"/>
          <w:lang w:val="fr-FR"/>
        </w:rPr>
        <w:t>pou</w:t>
      </w:r>
      <w:r>
        <w:rPr>
          <w:rStyle w:val="dn"/>
          <w:szCs w:val="24"/>
        </w:rPr>
        <w:t>žit</w:t>
      </w:r>
      <w:r>
        <w:rPr>
          <w:rStyle w:val="dn"/>
          <w:szCs w:val="24"/>
          <w:lang w:val="fr-FR"/>
        </w:rPr>
        <w:t>é</w:t>
      </w:r>
      <w:r>
        <w:rPr>
          <w:rStyle w:val="dn"/>
          <w:szCs w:val="24"/>
          <w:lang w:val="pt-PT"/>
        </w:rPr>
        <w:t>m p</w:t>
      </w:r>
      <w:r>
        <w:rPr>
          <w:rStyle w:val="dn"/>
          <w:szCs w:val="24"/>
        </w:rPr>
        <w:t xml:space="preserve">říměru vycházejícím z předpokladu, že většině populace - laikům to bude znít logicky.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V soudním řízení je až do vynesení rozsudku postavení obou účastníků (žalobce i žalovan</w:t>
      </w:r>
      <w:r>
        <w:rPr>
          <w:rStyle w:val="dn"/>
          <w:szCs w:val="24"/>
          <w:lang w:val="fr-FR"/>
        </w:rPr>
        <w:t>é</w:t>
      </w:r>
      <w:r>
        <w:rPr>
          <w:rStyle w:val="dn"/>
          <w:szCs w:val="24"/>
        </w:rPr>
        <w:t>ho) shodn</w:t>
      </w:r>
      <w:r>
        <w:rPr>
          <w:rStyle w:val="dn"/>
          <w:szCs w:val="24"/>
          <w:lang w:val="fr-FR"/>
        </w:rPr>
        <w:t>é</w:t>
      </w:r>
      <w:r>
        <w:rPr>
          <w:rStyle w:val="dn"/>
          <w:szCs w:val="24"/>
        </w:rPr>
        <w:t>. Do poslední chvíle není jasno, který z nich spor vyhraje. To, že někdo podá žalobu, př</w:t>
      </w:r>
      <w:r>
        <w:rPr>
          <w:rStyle w:val="dn"/>
          <w:szCs w:val="24"/>
          <w:lang w:val="it-IT"/>
        </w:rPr>
        <w:t>eci v</w:t>
      </w:r>
      <w:r>
        <w:rPr>
          <w:rStyle w:val="dn"/>
          <w:szCs w:val="24"/>
        </w:rPr>
        <w:t>ůbec neznamená, že právo stojí na jeho straně. V exekučním řízení je naproti tomu od sam</w:t>
      </w:r>
      <w:r>
        <w:rPr>
          <w:rStyle w:val="dn"/>
          <w:szCs w:val="24"/>
          <w:lang w:val="fr-FR"/>
        </w:rPr>
        <w:t>é</w:t>
      </w:r>
      <w:r>
        <w:rPr>
          <w:rStyle w:val="dn"/>
          <w:szCs w:val="24"/>
        </w:rPr>
        <w:t>ho počátku jasn</w:t>
      </w:r>
      <w:r>
        <w:rPr>
          <w:rStyle w:val="dn"/>
          <w:szCs w:val="24"/>
          <w:lang w:val="fr-FR"/>
        </w:rPr>
        <w:t>é</w:t>
      </w:r>
      <w:r>
        <w:rPr>
          <w:rStyle w:val="dn"/>
          <w:szCs w:val="24"/>
        </w:rPr>
        <w:t>, na čí straně stojí právo a kdo z účastníků je povinen něco plnit. Soudce neposkytuje službu ani jednomu z účastníků, nal</w:t>
      </w:r>
      <w:r>
        <w:rPr>
          <w:rStyle w:val="dn"/>
          <w:szCs w:val="24"/>
          <w:lang w:val="fr-FR"/>
        </w:rPr>
        <w:t>é</w:t>
      </w:r>
      <w:r>
        <w:rPr>
          <w:rStyle w:val="dn"/>
          <w:szCs w:val="24"/>
        </w:rPr>
        <w:t>zá právo. Exekutor nalezen</w:t>
      </w:r>
      <w:r>
        <w:rPr>
          <w:rStyle w:val="dn"/>
          <w:szCs w:val="24"/>
          <w:lang w:val="fr-FR"/>
        </w:rPr>
        <w:t xml:space="preserve">é </w:t>
      </w:r>
      <w:r>
        <w:rPr>
          <w:rStyle w:val="dn"/>
          <w:szCs w:val="24"/>
        </w:rPr>
        <w:t>právo, není-li splněno dobrovolně, vykonává – tedy poskytuje oprávněn</w:t>
      </w:r>
      <w:r>
        <w:rPr>
          <w:rStyle w:val="dn"/>
          <w:szCs w:val="24"/>
          <w:lang w:val="fr-FR"/>
        </w:rPr>
        <w:t>é</w:t>
      </w:r>
      <w:r>
        <w:rPr>
          <w:rStyle w:val="dn"/>
          <w:szCs w:val="24"/>
        </w:rPr>
        <w:t xml:space="preserve">mu službu.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 xml:space="preserve">Exekutor je tedy nestranným pouze, pokud jde o procesní práva účastníků řízení, ale z logiky věci je na straně </w:t>
      </w:r>
      <w:r>
        <w:rPr>
          <w:rStyle w:val="dn"/>
          <w:szCs w:val="24"/>
          <w:lang w:val="it-IT"/>
        </w:rPr>
        <w:t>opr</w:t>
      </w:r>
      <w:r>
        <w:rPr>
          <w:rStyle w:val="dn"/>
          <w:szCs w:val="24"/>
        </w:rPr>
        <w:t>ávněn</w:t>
      </w:r>
      <w:r>
        <w:rPr>
          <w:rStyle w:val="dn"/>
          <w:szCs w:val="24"/>
          <w:lang w:val="fr-FR"/>
        </w:rPr>
        <w:t>é</w:t>
      </w:r>
      <w:r>
        <w:rPr>
          <w:rStyle w:val="dn"/>
          <w:szCs w:val="24"/>
        </w:rPr>
        <w:t>ho. Zrušení</w:t>
      </w:r>
      <w:r>
        <w:rPr>
          <w:rStyle w:val="dn"/>
          <w:szCs w:val="24"/>
          <w:lang w:val="pt-PT"/>
        </w:rPr>
        <w:t>m pr</w:t>
      </w:r>
      <w:r>
        <w:rPr>
          <w:rStyle w:val="dn"/>
          <w:szCs w:val="24"/>
        </w:rPr>
        <w:t>áva volby exekutora se postavení povinn</w:t>
      </w:r>
      <w:r>
        <w:rPr>
          <w:rStyle w:val="dn"/>
          <w:szCs w:val="24"/>
          <w:lang w:val="fr-FR"/>
        </w:rPr>
        <w:t>é</w:t>
      </w:r>
      <w:r>
        <w:rPr>
          <w:rStyle w:val="dn"/>
          <w:szCs w:val="24"/>
        </w:rPr>
        <w:t>ho a oprávněn</w:t>
      </w:r>
      <w:r>
        <w:rPr>
          <w:rStyle w:val="dn"/>
          <w:szCs w:val="24"/>
          <w:lang w:val="fr-FR"/>
        </w:rPr>
        <w:t>é</w:t>
      </w:r>
      <w:r>
        <w:rPr>
          <w:rStyle w:val="dn"/>
          <w:szCs w:val="24"/>
        </w:rPr>
        <w:t>ho nesrovná. Povinný vždy bude ten, kdo má povinnost a oprávněný bude vždy ten, kdo má prá</w:t>
      </w:r>
      <w:r>
        <w:rPr>
          <w:rStyle w:val="dn"/>
          <w:szCs w:val="24"/>
          <w:lang w:val="it-IT"/>
        </w:rPr>
        <w:t xml:space="preserve">vo </w:t>
      </w:r>
      <w:r>
        <w:rPr>
          <w:rStyle w:val="dn"/>
          <w:szCs w:val="24"/>
        </w:rPr>
        <w:t xml:space="preserve">– jejich postavení </w:t>
      </w:r>
      <w:r>
        <w:rPr>
          <w:rStyle w:val="dn"/>
          <w:szCs w:val="24"/>
          <w:lang w:val="de-DE"/>
        </w:rPr>
        <w:t>nen</w:t>
      </w:r>
      <w:r>
        <w:rPr>
          <w:rStyle w:val="dn"/>
          <w:szCs w:val="24"/>
        </w:rPr>
        <w:t>í stejn</w:t>
      </w:r>
      <w:r>
        <w:rPr>
          <w:rStyle w:val="dn"/>
          <w:szCs w:val="24"/>
          <w:lang w:val="fr-FR"/>
        </w:rPr>
        <w:t>é</w:t>
      </w:r>
      <w:r>
        <w:rPr>
          <w:rStyle w:val="dn"/>
          <w:szCs w:val="24"/>
        </w:rPr>
        <w:t xml:space="preserve">.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Jedin</w:t>
      </w:r>
      <w:r>
        <w:rPr>
          <w:rStyle w:val="dn"/>
          <w:szCs w:val="24"/>
          <w:lang w:val="fr-FR"/>
        </w:rPr>
        <w:t>é</w:t>
      </w:r>
      <w:r>
        <w:rPr>
          <w:rStyle w:val="dn"/>
          <w:szCs w:val="24"/>
        </w:rPr>
        <w:t>, co se změní, je reáln</w:t>
      </w:r>
      <w:r>
        <w:rPr>
          <w:rStyle w:val="dn"/>
          <w:szCs w:val="24"/>
          <w:lang w:val="fr-FR"/>
        </w:rPr>
        <w:t xml:space="preserve">é </w:t>
      </w:r>
      <w:r>
        <w:rPr>
          <w:rStyle w:val="dn"/>
          <w:szCs w:val="24"/>
        </w:rPr>
        <w:t xml:space="preserve">zhoršení postavení </w:t>
      </w:r>
      <w:r>
        <w:rPr>
          <w:rStyle w:val="dn"/>
          <w:szCs w:val="24"/>
          <w:lang w:val="it-IT"/>
        </w:rPr>
        <w:t>opr</w:t>
      </w:r>
      <w:r>
        <w:rPr>
          <w:rStyle w:val="dn"/>
          <w:szCs w:val="24"/>
        </w:rPr>
        <w:t>ávněn</w:t>
      </w:r>
      <w:r>
        <w:rPr>
          <w:rStyle w:val="dn"/>
          <w:szCs w:val="24"/>
          <w:lang w:val="fr-FR"/>
        </w:rPr>
        <w:t>é</w:t>
      </w:r>
      <w:r>
        <w:rPr>
          <w:rStyle w:val="dn"/>
          <w:szCs w:val="24"/>
        </w:rPr>
        <w:t>ho (nikoliv zlepšení postavení povinn</w:t>
      </w:r>
      <w:r>
        <w:rPr>
          <w:rStyle w:val="dn"/>
          <w:szCs w:val="24"/>
          <w:lang w:val="fr-FR"/>
        </w:rPr>
        <w:t>é</w:t>
      </w:r>
      <w:r>
        <w:rPr>
          <w:rStyle w:val="dn"/>
          <w:szCs w:val="24"/>
        </w:rPr>
        <w:t xml:space="preserve">ho). </w:t>
      </w:r>
    </w:p>
    <w:p w:rsidR="009B70FF" w:rsidRDefault="009B70FF" w:rsidP="009B70FF">
      <w:pPr>
        <w:spacing w:line="240" w:lineRule="auto"/>
        <w:rPr>
          <w:rStyle w:val="dn"/>
          <w:szCs w:val="24"/>
        </w:rPr>
      </w:pPr>
    </w:p>
    <w:p w:rsidR="009B70FF" w:rsidRDefault="009B70FF" w:rsidP="009B70FF">
      <w:pPr>
        <w:spacing w:line="240" w:lineRule="auto"/>
        <w:rPr>
          <w:rStyle w:val="dn"/>
          <w:rFonts w:eastAsia="Times New Roman" w:cs="Times New Roman"/>
          <w:b/>
          <w:bCs/>
          <w:szCs w:val="24"/>
        </w:rPr>
      </w:pPr>
      <w:r>
        <w:rPr>
          <w:rStyle w:val="dn"/>
          <w:b/>
          <w:bCs/>
          <w:szCs w:val="24"/>
        </w:rPr>
        <w:t>5) Úroveň exekutorský</w:t>
      </w:r>
      <w:r>
        <w:rPr>
          <w:rStyle w:val="dn"/>
          <w:b/>
          <w:bCs/>
          <w:szCs w:val="24"/>
          <w:lang w:val="de-DE"/>
        </w:rPr>
        <w:t xml:space="preserve">ch </w:t>
      </w:r>
      <w:r>
        <w:rPr>
          <w:rStyle w:val="dn"/>
          <w:b/>
          <w:bCs/>
          <w:szCs w:val="24"/>
        </w:rPr>
        <w:t>úřadů a komfort oprávněný</w:t>
      </w:r>
      <w:r>
        <w:rPr>
          <w:rStyle w:val="dn"/>
          <w:b/>
          <w:bCs/>
          <w:szCs w:val="24"/>
          <w:lang w:val="de-DE"/>
        </w:rPr>
        <w:t xml:space="preserve">ch </w:t>
      </w:r>
    </w:p>
    <w:p w:rsidR="009B70FF" w:rsidRDefault="009B70FF" w:rsidP="009B70FF">
      <w:pPr>
        <w:spacing w:line="240" w:lineRule="auto"/>
        <w:rPr>
          <w:rStyle w:val="dn"/>
          <w:rFonts w:eastAsia="Times New Roman" w:cs="Times New Roman"/>
          <w:szCs w:val="24"/>
        </w:rPr>
      </w:pP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V konkurenčním prostředí se exekutor neustále snaží poskytovanou službu vylepšit, zrychlit, zefektivnit, zvýšit komfort oprávněných atd. Je nesporn</w:t>
      </w:r>
      <w:r>
        <w:rPr>
          <w:rStyle w:val="dn"/>
          <w:szCs w:val="24"/>
          <w:lang w:val="fr-FR"/>
        </w:rPr>
        <w:t>é</w:t>
      </w:r>
      <w:r>
        <w:rPr>
          <w:rStyle w:val="dn"/>
          <w:szCs w:val="24"/>
        </w:rPr>
        <w:t>, že některým exekutorům se v t</w:t>
      </w:r>
      <w:r>
        <w:rPr>
          <w:rStyle w:val="dn"/>
          <w:szCs w:val="24"/>
          <w:lang w:val="fr-FR"/>
        </w:rPr>
        <w:t>é</w:t>
      </w:r>
      <w:r>
        <w:rPr>
          <w:rStyle w:val="dn"/>
          <w:szCs w:val="24"/>
        </w:rPr>
        <w:t>to oblasti daří l</w:t>
      </w:r>
      <w:r>
        <w:rPr>
          <w:rStyle w:val="dn"/>
          <w:szCs w:val="24"/>
          <w:lang w:val="fr-FR"/>
        </w:rPr>
        <w:t>é</w:t>
      </w:r>
      <w:r>
        <w:rPr>
          <w:rStyle w:val="dn"/>
          <w:szCs w:val="24"/>
        </w:rPr>
        <w:t>pe a jiným hůře. Oprávněný si tak zvolí exekutora, který mu rozsahem svých služeb, rychlostí, cenou atd. nejl</w:t>
      </w:r>
      <w:r>
        <w:rPr>
          <w:rStyle w:val="dn"/>
          <w:szCs w:val="24"/>
          <w:lang w:val="fr-FR"/>
        </w:rPr>
        <w:t>é</w:t>
      </w:r>
      <w:r>
        <w:rPr>
          <w:rStyle w:val="dn"/>
          <w:szCs w:val="24"/>
        </w:rPr>
        <w:t>pe vyhovuje. Mezi exekutory jsou propastn</w:t>
      </w:r>
      <w:r>
        <w:rPr>
          <w:rStyle w:val="dn"/>
          <w:szCs w:val="24"/>
          <w:lang w:val="fr-FR"/>
        </w:rPr>
        <w:t xml:space="preserve">é </w:t>
      </w:r>
      <w:r>
        <w:rPr>
          <w:rStyle w:val="dn"/>
          <w:szCs w:val="24"/>
        </w:rPr>
        <w:t xml:space="preserve">rozdíly ve všech oblastech: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Někteří exekutoř</w:t>
      </w:r>
      <w:r>
        <w:rPr>
          <w:rStyle w:val="dn"/>
          <w:szCs w:val="24"/>
          <w:lang w:val="fr-FR"/>
        </w:rPr>
        <w:t>i pou</w:t>
      </w:r>
      <w:r>
        <w:rPr>
          <w:rStyle w:val="dn"/>
          <w:szCs w:val="24"/>
        </w:rPr>
        <w:t>žívají vyspěl</w:t>
      </w:r>
      <w:r>
        <w:rPr>
          <w:rStyle w:val="dn"/>
          <w:szCs w:val="24"/>
          <w:lang w:val="fr-FR"/>
        </w:rPr>
        <w:t xml:space="preserve">é </w:t>
      </w:r>
      <w:r>
        <w:rPr>
          <w:rStyle w:val="dn"/>
          <w:szCs w:val="24"/>
        </w:rPr>
        <w:t>plně automatizovan</w:t>
      </w:r>
      <w:r>
        <w:rPr>
          <w:rStyle w:val="dn"/>
          <w:szCs w:val="24"/>
          <w:lang w:val="fr-FR"/>
        </w:rPr>
        <w:t xml:space="preserve">é </w:t>
      </w:r>
      <w:r>
        <w:rPr>
          <w:rStyle w:val="dn"/>
          <w:szCs w:val="24"/>
          <w:lang w:val="en-US"/>
        </w:rPr>
        <w:t>softwary s mo</w:t>
      </w:r>
      <w:r>
        <w:rPr>
          <w:rStyle w:val="dn"/>
          <w:szCs w:val="24"/>
        </w:rPr>
        <w:t>žností dálkov</w:t>
      </w:r>
      <w:r>
        <w:rPr>
          <w:rStyle w:val="dn"/>
          <w:szCs w:val="24"/>
          <w:lang w:val="fr-FR"/>
        </w:rPr>
        <w:t>é</w:t>
      </w:r>
      <w:r>
        <w:rPr>
          <w:rStyle w:val="dn"/>
          <w:szCs w:val="24"/>
        </w:rPr>
        <w:t>ho přístupu pro oprávněn</w:t>
      </w:r>
      <w:r>
        <w:rPr>
          <w:rStyle w:val="dn"/>
          <w:szCs w:val="24"/>
          <w:lang w:val="fr-FR"/>
        </w:rPr>
        <w:t xml:space="preserve">é </w:t>
      </w:r>
      <w:r>
        <w:rPr>
          <w:rStyle w:val="dn"/>
          <w:szCs w:val="24"/>
        </w:rPr>
        <w:t>nebo pravidelných obsá</w:t>
      </w:r>
      <w:r>
        <w:rPr>
          <w:rStyle w:val="dn"/>
          <w:szCs w:val="24"/>
          <w:lang w:val="de-DE"/>
        </w:rPr>
        <w:t>hl</w:t>
      </w:r>
      <w:r>
        <w:rPr>
          <w:rStyle w:val="dn"/>
          <w:szCs w:val="24"/>
        </w:rPr>
        <w:t>ý</w:t>
      </w:r>
      <w:r>
        <w:rPr>
          <w:rStyle w:val="dn"/>
          <w:szCs w:val="24"/>
          <w:lang w:val="en-US"/>
        </w:rPr>
        <w:t>ch report</w:t>
      </w:r>
      <w:r>
        <w:rPr>
          <w:rStyle w:val="dn"/>
          <w:szCs w:val="24"/>
        </w:rPr>
        <w:t>ů, jiní exekutoř</w:t>
      </w:r>
      <w:r>
        <w:rPr>
          <w:rStyle w:val="dn"/>
          <w:szCs w:val="24"/>
          <w:lang w:val="fr-FR"/>
        </w:rPr>
        <w:t>i pou</w:t>
      </w:r>
      <w:r>
        <w:rPr>
          <w:rStyle w:val="dn"/>
          <w:szCs w:val="24"/>
        </w:rPr>
        <w:t>žívají nejjednodušší formu databáze bez jak</w:t>
      </w:r>
      <w:r>
        <w:rPr>
          <w:rStyle w:val="dn"/>
          <w:szCs w:val="24"/>
          <w:lang w:val="fr-FR"/>
        </w:rPr>
        <w:t>é</w:t>
      </w:r>
      <w:r>
        <w:rPr>
          <w:rStyle w:val="dn"/>
          <w:szCs w:val="24"/>
        </w:rPr>
        <w:t>koliv podpory pouze s možností pro oprávněn</w:t>
      </w:r>
      <w:r>
        <w:rPr>
          <w:rStyle w:val="dn"/>
          <w:szCs w:val="24"/>
          <w:lang w:val="fr-FR"/>
        </w:rPr>
        <w:t xml:space="preserve">é </w:t>
      </w:r>
      <w:r>
        <w:rPr>
          <w:rStyle w:val="dn"/>
          <w:szCs w:val="24"/>
          <w:lang w:val="de-DE"/>
        </w:rPr>
        <w:t>nahl</w:t>
      </w:r>
      <w:r>
        <w:rPr>
          <w:rStyle w:val="dn"/>
          <w:szCs w:val="24"/>
          <w:lang w:val="fr-FR"/>
        </w:rPr>
        <w:t>é</w:t>
      </w:r>
      <w:r>
        <w:rPr>
          <w:rStyle w:val="dn"/>
          <w:szCs w:val="24"/>
        </w:rPr>
        <w:t>dnout do listinn</w:t>
      </w:r>
      <w:r>
        <w:rPr>
          <w:rStyle w:val="dn"/>
          <w:szCs w:val="24"/>
          <w:lang w:val="fr-FR"/>
        </w:rPr>
        <w:t>é</w:t>
      </w:r>
      <w:r>
        <w:rPr>
          <w:rStyle w:val="dn"/>
          <w:szCs w:val="24"/>
        </w:rPr>
        <w:t xml:space="preserve">ho spisu.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 xml:space="preserve">Někteří exekutoři poskytují </w:t>
      </w:r>
      <w:r>
        <w:rPr>
          <w:rStyle w:val="dn"/>
          <w:szCs w:val="24"/>
          <w:lang w:val="it-IT"/>
        </w:rPr>
        <w:t>opr</w:t>
      </w:r>
      <w:r>
        <w:rPr>
          <w:rStyle w:val="dn"/>
          <w:szCs w:val="24"/>
        </w:rPr>
        <w:t>ávněný</w:t>
      </w:r>
      <w:r>
        <w:rPr>
          <w:rStyle w:val="dn"/>
          <w:szCs w:val="24"/>
          <w:lang w:val="it-IT"/>
        </w:rPr>
        <w:t>m dal</w:t>
      </w:r>
      <w:r>
        <w:rPr>
          <w:rStyle w:val="dn"/>
          <w:szCs w:val="24"/>
        </w:rPr>
        <w:t xml:space="preserve">ší služby jako je třeba sepsání </w:t>
      </w:r>
      <w:r>
        <w:rPr>
          <w:rStyle w:val="dn"/>
          <w:szCs w:val="24"/>
          <w:lang w:val="pt-PT"/>
        </w:rPr>
        <w:t>exeku</w:t>
      </w:r>
      <w:r>
        <w:rPr>
          <w:rStyle w:val="dn"/>
          <w:szCs w:val="24"/>
        </w:rPr>
        <w:t>čního návrhu, přihlášení pohledávky do insolvenčního řízení nebo do dražby k jin</w:t>
      </w:r>
      <w:r>
        <w:rPr>
          <w:rStyle w:val="dn"/>
          <w:szCs w:val="24"/>
          <w:lang w:val="fr-FR"/>
        </w:rPr>
        <w:t>é</w:t>
      </w:r>
      <w:r>
        <w:rPr>
          <w:rStyle w:val="dn"/>
          <w:szCs w:val="24"/>
        </w:rPr>
        <w:t>mu exekutorovi, právní poradenství, opakovan</w:t>
      </w:r>
      <w:r>
        <w:rPr>
          <w:rStyle w:val="dn"/>
          <w:szCs w:val="24"/>
          <w:lang w:val="fr-FR"/>
        </w:rPr>
        <w:t xml:space="preserve">é </w:t>
      </w:r>
      <w:r>
        <w:rPr>
          <w:rStyle w:val="dn"/>
          <w:szCs w:val="24"/>
        </w:rPr>
        <w:t>lustrace atd… jiní exekutoři oprávněn</w:t>
      </w:r>
      <w:r>
        <w:rPr>
          <w:rStyle w:val="dn"/>
          <w:szCs w:val="24"/>
          <w:lang w:val="fr-FR"/>
        </w:rPr>
        <w:t>é</w:t>
      </w:r>
      <w:r>
        <w:rPr>
          <w:rStyle w:val="dn"/>
          <w:szCs w:val="24"/>
        </w:rPr>
        <w:t>mu neposkytují žádn</w:t>
      </w:r>
      <w:r>
        <w:rPr>
          <w:rStyle w:val="dn"/>
          <w:szCs w:val="24"/>
          <w:lang w:val="fr-FR"/>
        </w:rPr>
        <w:t xml:space="preserve">é </w:t>
      </w:r>
      <w:r>
        <w:rPr>
          <w:rStyle w:val="dn"/>
          <w:szCs w:val="24"/>
          <w:lang w:val="it-IT"/>
        </w:rPr>
        <w:t>dal</w:t>
      </w:r>
      <w:r>
        <w:rPr>
          <w:rStyle w:val="dn"/>
          <w:szCs w:val="24"/>
        </w:rPr>
        <w:t xml:space="preserve">ší služby.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Někteří exekutoři mají propracovan</w:t>
      </w:r>
      <w:r>
        <w:rPr>
          <w:rStyle w:val="dn"/>
          <w:szCs w:val="24"/>
          <w:lang w:val="fr-FR"/>
        </w:rPr>
        <w:t xml:space="preserve">é </w:t>
      </w:r>
      <w:r>
        <w:rPr>
          <w:rStyle w:val="dn"/>
          <w:szCs w:val="24"/>
        </w:rPr>
        <w:t xml:space="preserve">procesy, vysoce odborný </w:t>
      </w:r>
      <w:r>
        <w:rPr>
          <w:rStyle w:val="dn"/>
          <w:szCs w:val="24"/>
          <w:lang w:val="it-IT"/>
        </w:rPr>
        <w:t>person</w:t>
      </w:r>
      <w:r>
        <w:rPr>
          <w:rStyle w:val="dn"/>
          <w:szCs w:val="24"/>
        </w:rPr>
        <w:t>ál, schopn</w:t>
      </w:r>
      <w:r>
        <w:rPr>
          <w:rStyle w:val="dn"/>
          <w:szCs w:val="24"/>
          <w:lang w:val="fr-FR"/>
        </w:rPr>
        <w:t xml:space="preserve">é </w:t>
      </w:r>
      <w:r>
        <w:rPr>
          <w:rStyle w:val="dn"/>
          <w:szCs w:val="24"/>
        </w:rPr>
        <w:t xml:space="preserve">vykonavatele…na druhou stranu jsou exekutoři, kteří mají jednoho nebo dva administrativní zaměstnance a exekuce dělají tzv. na koleni. </w:t>
      </w:r>
    </w:p>
    <w:p w:rsidR="009B70FF" w:rsidRDefault="009B70FF" w:rsidP="007A2179">
      <w:pPr>
        <w:pStyle w:val="Default"/>
        <w:numPr>
          <w:ilvl w:val="0"/>
          <w:numId w:val="27"/>
        </w:numPr>
        <w:jc w:val="both"/>
      </w:pPr>
      <w:r>
        <w:t>Zrušením možnosti volby exekutora se oprávněný bude chtě nechtě muset naučit pracovat se všemi exekutory pů</w:t>
      </w:r>
      <w:r>
        <w:rPr>
          <w:lang w:val="es-ES_tradnl"/>
        </w:rPr>
        <w:t>sob</w:t>
      </w:r>
      <w:r>
        <w:t>ícími v ČR a přijmout jejich nabídku takovou, jaká je. Výsledkem ovšem nebude jen ztráta standardu poskytovan</w:t>
      </w:r>
      <w:r>
        <w:rPr>
          <w:lang w:val="fr-FR"/>
        </w:rPr>
        <w:t xml:space="preserve">é </w:t>
      </w:r>
      <w:r>
        <w:t xml:space="preserve">služby, na kterou je oprávněný zvyklý, ale především se tyto rozdíly projeví na úspěšnosti vymáhání. Oprávněný se tak nově setká </w:t>
      </w:r>
      <w:r>
        <w:rPr>
          <w:lang w:val="en-US"/>
        </w:rPr>
        <w:t>s t</w:t>
      </w:r>
      <w:r>
        <w:t>ím, že rozdělen</w:t>
      </w:r>
      <w:r>
        <w:rPr>
          <w:lang w:val="fr-FR"/>
        </w:rPr>
        <w:t xml:space="preserve">é </w:t>
      </w:r>
      <w:r>
        <w:t>portfolio typově stejných pohledávek, bude u jednoho exekutora vymoženo s vysokou mí</w:t>
      </w:r>
      <w:r>
        <w:rPr>
          <w:lang w:val="pt-PT"/>
        </w:rPr>
        <w:t xml:space="preserve">rou </w:t>
      </w:r>
      <w:r>
        <w:t>úspěšnosti a u druh</w:t>
      </w:r>
      <w:r>
        <w:rPr>
          <w:lang w:val="fr-FR"/>
        </w:rPr>
        <w:t>é</w:t>
      </w:r>
      <w:r>
        <w:t xml:space="preserve">ho bude zastaveno pro nemajetnost. Důvodem, proč někteří exekutoři jsou „malí“, nemusí být totiž </w:t>
      </w:r>
      <w:r>
        <w:rPr>
          <w:lang w:val="it-IT"/>
        </w:rPr>
        <w:t xml:space="preserve">to, </w:t>
      </w:r>
      <w:r>
        <w:t>že nechtějí nebo nemohou být „</w:t>
      </w:r>
      <w:r>
        <w:rPr>
          <w:lang w:val="de-DE"/>
        </w:rPr>
        <w:t>velc</w:t>
      </w:r>
      <w:r>
        <w:t xml:space="preserve">í“, ale že zkrátka neobstáli, neumějí </w:t>
      </w:r>
      <w:r>
        <w:rPr>
          <w:lang w:val="it-IT"/>
        </w:rPr>
        <w:t>to. T</w:t>
      </w:r>
      <w:r>
        <w:t>ím, že teď dostanou 10x ví</w:t>
      </w:r>
      <w:r>
        <w:rPr>
          <w:lang w:val="fr-FR"/>
        </w:rPr>
        <w:t>ce pr</w:t>
      </w:r>
      <w:r>
        <w:t>áce, se to nenaučí. Ten, kdo to odnese, je opě</w:t>
      </w:r>
      <w:r>
        <w:rPr>
          <w:lang w:val="nl-NL"/>
        </w:rPr>
        <w:t>t opr</w:t>
      </w:r>
      <w:r>
        <w:t xml:space="preserve">ávněný. </w:t>
      </w:r>
    </w:p>
    <w:p w:rsidR="009B70FF" w:rsidRDefault="009B70FF" w:rsidP="009B70FF">
      <w:pPr>
        <w:spacing w:line="240" w:lineRule="auto"/>
        <w:rPr>
          <w:rStyle w:val="dn"/>
          <w:szCs w:val="24"/>
        </w:rPr>
      </w:pPr>
    </w:p>
    <w:p w:rsidR="009B70FF" w:rsidRDefault="009B70FF" w:rsidP="009B70FF">
      <w:pPr>
        <w:spacing w:line="240" w:lineRule="auto"/>
        <w:rPr>
          <w:rStyle w:val="dn"/>
          <w:rFonts w:eastAsia="Times New Roman" w:cs="Times New Roman"/>
          <w:b/>
          <w:bCs/>
          <w:szCs w:val="24"/>
        </w:rPr>
      </w:pPr>
      <w:r>
        <w:rPr>
          <w:rStyle w:val="dn"/>
          <w:b/>
          <w:bCs/>
          <w:szCs w:val="24"/>
        </w:rPr>
        <w:t>6) Zátěž pro oprávněn</w:t>
      </w:r>
      <w:r>
        <w:rPr>
          <w:rStyle w:val="dn"/>
          <w:b/>
          <w:bCs/>
          <w:szCs w:val="24"/>
          <w:lang w:val="fr-FR"/>
        </w:rPr>
        <w:t xml:space="preserve">é </w:t>
      </w:r>
    </w:p>
    <w:p w:rsidR="009B70FF" w:rsidRDefault="009B70FF" w:rsidP="009B70FF">
      <w:pPr>
        <w:spacing w:line="240" w:lineRule="auto"/>
        <w:rPr>
          <w:rStyle w:val="dn"/>
          <w:rFonts w:eastAsia="Times New Roman" w:cs="Times New Roman"/>
          <w:szCs w:val="24"/>
        </w:rPr>
      </w:pP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Nutnost spolupráce se všemi cca 150 exekutory bude pro oprávněn</w:t>
      </w:r>
      <w:r>
        <w:rPr>
          <w:rStyle w:val="dn"/>
          <w:szCs w:val="24"/>
          <w:lang w:val="fr-FR"/>
        </w:rPr>
        <w:t xml:space="preserve">é </w:t>
      </w:r>
      <w:r>
        <w:rPr>
          <w:rStyle w:val="dn"/>
          <w:szCs w:val="24"/>
        </w:rPr>
        <w:t>znamenat neúměrně náročnou administraci pohledávek, výrazně vyšší náklady na zaměstnance spravující pohledávky, složitost cel</w:t>
      </w:r>
      <w:r>
        <w:rPr>
          <w:rStyle w:val="dn"/>
          <w:szCs w:val="24"/>
          <w:lang w:val="fr-FR"/>
        </w:rPr>
        <w:t>é</w:t>
      </w:r>
      <w:r>
        <w:rPr>
          <w:rStyle w:val="dn"/>
          <w:szCs w:val="24"/>
        </w:rPr>
        <w:t>ho procesu vymáhání, výrazn</w:t>
      </w:r>
      <w:r>
        <w:rPr>
          <w:rStyle w:val="dn"/>
          <w:szCs w:val="24"/>
          <w:lang w:val="fr-FR"/>
        </w:rPr>
        <w:t xml:space="preserve">é </w:t>
      </w:r>
      <w:r>
        <w:rPr>
          <w:rStyle w:val="dn"/>
          <w:szCs w:val="24"/>
        </w:rPr>
        <w:t xml:space="preserve">snížení % vymožení pohledávek atd. </w:t>
      </w:r>
    </w:p>
    <w:p w:rsidR="009B70FF" w:rsidRDefault="009B70FF" w:rsidP="009B70FF">
      <w:pPr>
        <w:spacing w:line="240" w:lineRule="auto"/>
        <w:rPr>
          <w:rStyle w:val="dn"/>
          <w:rFonts w:eastAsia="Times New Roman" w:cs="Times New Roman"/>
          <w:b/>
          <w:bCs/>
          <w:szCs w:val="24"/>
        </w:rPr>
      </w:pPr>
    </w:p>
    <w:p w:rsidR="009B70FF" w:rsidRDefault="009B70FF" w:rsidP="009B70FF">
      <w:pPr>
        <w:spacing w:line="240" w:lineRule="auto"/>
        <w:rPr>
          <w:rStyle w:val="dn"/>
          <w:rFonts w:eastAsia="Times New Roman" w:cs="Times New Roman"/>
          <w:b/>
          <w:bCs/>
          <w:szCs w:val="24"/>
        </w:rPr>
      </w:pPr>
      <w:r>
        <w:rPr>
          <w:rStyle w:val="dn"/>
          <w:b/>
          <w:bCs/>
          <w:szCs w:val="24"/>
        </w:rPr>
        <w:t>7) Snížení nákladů za mobiliární exekuce</w:t>
      </w:r>
    </w:p>
    <w:p w:rsidR="009B70FF" w:rsidRDefault="009B70FF" w:rsidP="009B70FF">
      <w:pPr>
        <w:spacing w:line="240" w:lineRule="auto"/>
        <w:rPr>
          <w:rStyle w:val="dn"/>
          <w:rFonts w:eastAsia="Times New Roman" w:cs="Times New Roman"/>
          <w:szCs w:val="24"/>
        </w:rPr>
      </w:pPr>
      <w:r>
        <w:rPr>
          <w:rStyle w:val="dn"/>
          <w:b/>
          <w:bCs/>
          <w:szCs w:val="24"/>
        </w:rPr>
        <w:t xml:space="preserve"> </w:t>
      </w:r>
    </w:p>
    <w:p w:rsidR="009B70FF" w:rsidRDefault="009B70FF" w:rsidP="007A2179">
      <w:pPr>
        <w:pStyle w:val="Odstavecseseznamem"/>
        <w:numPr>
          <w:ilvl w:val="0"/>
          <w:numId w:val="27"/>
        </w:numPr>
        <w:pBdr>
          <w:top w:val="nil"/>
          <w:left w:val="nil"/>
          <w:bottom w:val="nil"/>
          <w:right w:val="nil"/>
          <w:between w:val="nil"/>
          <w:bar w:val="nil"/>
        </w:pBdr>
        <w:spacing w:before="0" w:after="69" w:line="240" w:lineRule="auto"/>
        <w:contextualSpacing w:val="0"/>
        <w:rPr>
          <w:szCs w:val="24"/>
        </w:rPr>
      </w:pPr>
      <w:r>
        <w:rPr>
          <w:rStyle w:val="dn"/>
          <w:szCs w:val="24"/>
        </w:rPr>
        <w:t>Dalším často slý</w:t>
      </w:r>
      <w:r>
        <w:rPr>
          <w:rStyle w:val="dn"/>
          <w:szCs w:val="24"/>
          <w:lang w:val="en-US"/>
        </w:rPr>
        <w:t>chan</w:t>
      </w:r>
      <w:r>
        <w:rPr>
          <w:rStyle w:val="dn"/>
          <w:szCs w:val="24"/>
        </w:rPr>
        <w:t>ým argumentem pro zavedení územního principu je snížení nákladů za mobiliární exekuce. Exekutor bude provádět výkon jen v místě sv</w:t>
      </w:r>
      <w:r>
        <w:rPr>
          <w:rStyle w:val="dn"/>
          <w:szCs w:val="24"/>
          <w:lang w:val="fr-FR"/>
        </w:rPr>
        <w:t xml:space="preserve">é </w:t>
      </w:r>
      <w:r>
        <w:rPr>
          <w:rStyle w:val="dn"/>
          <w:szCs w:val="24"/>
        </w:rPr>
        <w:t>působnosti, což bude mít za následek snížení cestovní</w:t>
      </w:r>
      <w:r>
        <w:rPr>
          <w:rStyle w:val="dn"/>
          <w:szCs w:val="24"/>
          <w:lang w:val="de-DE"/>
        </w:rPr>
        <w:t>ch n</w:t>
      </w:r>
      <w:r>
        <w:rPr>
          <w:rStyle w:val="dn"/>
          <w:szCs w:val="24"/>
        </w:rPr>
        <w:t>ákladů a naví</w:t>
      </w:r>
      <w:r>
        <w:rPr>
          <w:rStyle w:val="dn"/>
          <w:szCs w:val="24"/>
          <w:lang w:val="fr-FR"/>
        </w:rPr>
        <w:t>c d</w:t>
      </w:r>
      <w:r>
        <w:rPr>
          <w:rStyle w:val="dn"/>
          <w:szCs w:val="24"/>
        </w:rPr>
        <w:t>íky znalosti místního prostředí, bude každý exekutor „znát sv</w:t>
      </w:r>
      <w:r>
        <w:rPr>
          <w:rStyle w:val="dn"/>
          <w:szCs w:val="24"/>
          <w:lang w:val="fr-FR"/>
        </w:rPr>
        <w:t>é</w:t>
      </w:r>
      <w:r>
        <w:rPr>
          <w:rStyle w:val="dn"/>
          <w:szCs w:val="24"/>
        </w:rPr>
        <w:t>ho povinn</w:t>
      </w:r>
      <w:r>
        <w:rPr>
          <w:rStyle w:val="dn"/>
          <w:szCs w:val="24"/>
          <w:lang w:val="fr-FR"/>
        </w:rPr>
        <w:t>é</w:t>
      </w:r>
      <w:r>
        <w:rPr>
          <w:rStyle w:val="dn"/>
          <w:szCs w:val="24"/>
        </w:rPr>
        <w:t xml:space="preserve">ho“. </w:t>
      </w:r>
    </w:p>
    <w:p w:rsidR="009B70FF" w:rsidRDefault="009B70FF" w:rsidP="007A2179">
      <w:pPr>
        <w:pStyle w:val="Odstavecseseznamem"/>
        <w:numPr>
          <w:ilvl w:val="0"/>
          <w:numId w:val="27"/>
        </w:numPr>
        <w:pBdr>
          <w:top w:val="nil"/>
          <w:left w:val="nil"/>
          <w:bottom w:val="nil"/>
          <w:right w:val="nil"/>
          <w:between w:val="nil"/>
          <w:bar w:val="nil"/>
        </w:pBdr>
        <w:spacing w:before="0" w:after="69" w:line="240" w:lineRule="auto"/>
        <w:contextualSpacing w:val="0"/>
        <w:rPr>
          <w:szCs w:val="24"/>
        </w:rPr>
      </w:pPr>
      <w:r>
        <w:rPr>
          <w:rStyle w:val="dn"/>
          <w:szCs w:val="24"/>
        </w:rPr>
        <w:t>V současn</w:t>
      </w:r>
      <w:r>
        <w:rPr>
          <w:rStyle w:val="dn"/>
          <w:szCs w:val="24"/>
          <w:lang w:val="fr-FR"/>
        </w:rPr>
        <w:t xml:space="preserve">é </w:t>
      </w:r>
      <w:r>
        <w:rPr>
          <w:rStyle w:val="dn"/>
          <w:szCs w:val="24"/>
        </w:rPr>
        <w:t>době jsou při cestách za povinnými nejnákladnější zámeční</w:t>
      </w:r>
      <w:r>
        <w:rPr>
          <w:rStyle w:val="dn"/>
          <w:szCs w:val="24"/>
          <w:lang w:val="it-IT"/>
        </w:rPr>
        <w:t>ci, st</w:t>
      </w:r>
      <w:r>
        <w:rPr>
          <w:rStyle w:val="dn"/>
          <w:szCs w:val="24"/>
        </w:rPr>
        <w:t>ěhováci a skladování sepsaný</w:t>
      </w:r>
      <w:r>
        <w:rPr>
          <w:rStyle w:val="dn"/>
          <w:szCs w:val="24"/>
          <w:lang w:val="en-US"/>
        </w:rPr>
        <w:t>ch movit</w:t>
      </w:r>
      <w:r>
        <w:rPr>
          <w:rStyle w:val="dn"/>
          <w:szCs w:val="24"/>
        </w:rPr>
        <w:t>ých věcí. Těchto položek se exekutor ani při zavedení územního principu nezbaví. Samotn</w:t>
      </w:r>
      <w:r>
        <w:rPr>
          <w:rStyle w:val="dn"/>
          <w:szCs w:val="24"/>
          <w:lang w:val="fr-FR"/>
        </w:rPr>
        <w:t xml:space="preserve">é </w:t>
      </w:r>
      <w:r>
        <w:rPr>
          <w:rStyle w:val="dn"/>
          <w:szCs w:val="24"/>
        </w:rPr>
        <w:t>cestovn</w:t>
      </w:r>
      <w:r>
        <w:rPr>
          <w:rStyle w:val="dn"/>
          <w:szCs w:val="24"/>
          <w:lang w:val="fr-FR"/>
        </w:rPr>
        <w:t xml:space="preserve">é </w:t>
      </w:r>
      <w:r>
        <w:rPr>
          <w:rStyle w:val="dn"/>
          <w:szCs w:val="24"/>
          <w:lang w:val="de-DE"/>
        </w:rPr>
        <w:t>nen</w:t>
      </w:r>
      <w:r>
        <w:rPr>
          <w:rStyle w:val="dn"/>
          <w:szCs w:val="24"/>
        </w:rPr>
        <w:t>í žádnou zásadní položkou, neboť tato se na rozdíl od výše uvedených rozpočítává mezi všechny povinn</w:t>
      </w:r>
      <w:r>
        <w:rPr>
          <w:rStyle w:val="dn"/>
          <w:szCs w:val="24"/>
          <w:lang w:val="fr-FR"/>
        </w:rPr>
        <w:t>é</w:t>
      </w:r>
      <w:r>
        <w:rPr>
          <w:rStyle w:val="dn"/>
          <w:szCs w:val="24"/>
        </w:rPr>
        <w:t>, kteří jsou při cestě navští</w:t>
      </w:r>
      <w:r>
        <w:rPr>
          <w:rStyle w:val="dn"/>
          <w:szCs w:val="24"/>
          <w:lang w:val="it-IT"/>
        </w:rPr>
        <w:t>veni. Nav</w:t>
      </w:r>
      <w:r>
        <w:rPr>
          <w:rStyle w:val="dn"/>
          <w:szCs w:val="24"/>
        </w:rPr>
        <w:t xml:space="preserve">íc v dnešní právní úpravě je výše náhrady cestovních výdajů zastropována, tedy nesmí přesáhnout částku 1.500,- Kč za jednu cestu. Tento argument zastánců teritoriality je tedy ryze účelový. </w:t>
      </w:r>
    </w:p>
    <w:p w:rsidR="009B70FF" w:rsidRDefault="009B70FF" w:rsidP="007A2179">
      <w:pPr>
        <w:pStyle w:val="Odstavecseseznamem"/>
        <w:numPr>
          <w:ilvl w:val="0"/>
          <w:numId w:val="27"/>
        </w:numPr>
        <w:pBdr>
          <w:top w:val="nil"/>
          <w:left w:val="nil"/>
          <w:bottom w:val="nil"/>
          <w:right w:val="nil"/>
          <w:between w:val="nil"/>
          <w:bar w:val="nil"/>
        </w:pBdr>
        <w:spacing w:before="0" w:after="69" w:line="240" w:lineRule="auto"/>
        <w:contextualSpacing w:val="0"/>
        <w:rPr>
          <w:szCs w:val="24"/>
        </w:rPr>
      </w:pPr>
      <w:r>
        <w:rPr>
          <w:rStyle w:val="dn"/>
          <w:szCs w:val="24"/>
        </w:rPr>
        <w:t>Dále je nutn</w:t>
      </w:r>
      <w:r>
        <w:rPr>
          <w:rStyle w:val="dn"/>
          <w:szCs w:val="24"/>
          <w:lang w:val="fr-FR"/>
        </w:rPr>
        <w:t xml:space="preserve">é </w:t>
      </w:r>
      <w:r>
        <w:rPr>
          <w:rStyle w:val="dn"/>
          <w:szCs w:val="24"/>
        </w:rPr>
        <w:t>si uvě</w:t>
      </w:r>
      <w:r>
        <w:rPr>
          <w:rStyle w:val="dn"/>
          <w:szCs w:val="24"/>
          <w:lang w:val="de-DE"/>
        </w:rPr>
        <w:t xml:space="preserve">domit, </w:t>
      </w:r>
      <w:r>
        <w:rPr>
          <w:rStyle w:val="dn"/>
          <w:szCs w:val="24"/>
        </w:rPr>
        <w:t xml:space="preserve">že exekucí bude nově pověřen ten exekutor, v jehož obvodu má povinný </w:t>
      </w:r>
      <w:r>
        <w:rPr>
          <w:rStyle w:val="dn"/>
          <w:szCs w:val="24"/>
          <w:lang w:val="de-DE"/>
        </w:rPr>
        <w:t>hl</w:t>
      </w:r>
      <w:r>
        <w:rPr>
          <w:rStyle w:val="dn"/>
          <w:szCs w:val="24"/>
        </w:rPr>
        <w:t>ášeno trval</w:t>
      </w:r>
      <w:r>
        <w:rPr>
          <w:rStyle w:val="dn"/>
          <w:szCs w:val="24"/>
          <w:lang w:val="fr-FR"/>
        </w:rPr>
        <w:t xml:space="preserve">é </w:t>
      </w:r>
      <w:r>
        <w:rPr>
          <w:rStyle w:val="dn"/>
          <w:szCs w:val="24"/>
        </w:rPr>
        <w:t>bydliště, nikoliv kde se povinný skutečně zdržuje. Zkušenost říká, že až 50 % povinný</w:t>
      </w:r>
      <w:r>
        <w:rPr>
          <w:rStyle w:val="dn"/>
          <w:szCs w:val="24"/>
          <w:lang w:val="de-DE"/>
        </w:rPr>
        <w:t>ch m</w:t>
      </w:r>
      <w:r>
        <w:rPr>
          <w:rStyle w:val="dn"/>
          <w:szCs w:val="24"/>
        </w:rPr>
        <w:t>á trval</w:t>
      </w:r>
      <w:r>
        <w:rPr>
          <w:rStyle w:val="dn"/>
          <w:szCs w:val="24"/>
          <w:lang w:val="fr-FR"/>
        </w:rPr>
        <w:t xml:space="preserve">é </w:t>
      </w:r>
      <w:r>
        <w:rPr>
          <w:rStyle w:val="dn"/>
          <w:szCs w:val="24"/>
        </w:rPr>
        <w:t xml:space="preserve">bydliště </w:t>
      </w:r>
      <w:r>
        <w:rPr>
          <w:rStyle w:val="dn"/>
          <w:szCs w:val="24"/>
          <w:lang w:val="de-DE"/>
        </w:rPr>
        <w:t>nahl</w:t>
      </w:r>
      <w:r>
        <w:rPr>
          <w:rStyle w:val="dn"/>
          <w:szCs w:val="24"/>
        </w:rPr>
        <w:t>ášen</w:t>
      </w:r>
      <w:r>
        <w:rPr>
          <w:rStyle w:val="dn"/>
          <w:szCs w:val="24"/>
          <w:lang w:val="fr-FR"/>
        </w:rPr>
        <w:t xml:space="preserve">é </w:t>
      </w:r>
      <w:r>
        <w:rPr>
          <w:rStyle w:val="dn"/>
          <w:szCs w:val="24"/>
        </w:rPr>
        <w:t>jinde, než kde skutečně bydlí (např. na městsk</w:t>
      </w:r>
      <w:r>
        <w:rPr>
          <w:rStyle w:val="dn"/>
          <w:szCs w:val="24"/>
          <w:lang w:val="fr-FR"/>
        </w:rPr>
        <w:t>é</w:t>
      </w:r>
      <w:r>
        <w:rPr>
          <w:rStyle w:val="dn"/>
          <w:szCs w:val="24"/>
        </w:rPr>
        <w:t>m úřadě). Toto reáln</w:t>
      </w:r>
      <w:r>
        <w:rPr>
          <w:rStyle w:val="dn"/>
          <w:szCs w:val="24"/>
          <w:lang w:val="fr-FR"/>
        </w:rPr>
        <w:t xml:space="preserve">é </w:t>
      </w:r>
      <w:r>
        <w:rPr>
          <w:rStyle w:val="dn"/>
          <w:szCs w:val="24"/>
        </w:rPr>
        <w:t xml:space="preserve">bydliště se ovšem nemusí </w:t>
      </w:r>
      <w:r>
        <w:rPr>
          <w:rStyle w:val="dn"/>
          <w:szCs w:val="24"/>
          <w:lang w:val="de-DE"/>
        </w:rPr>
        <w:t>nach</w:t>
      </w:r>
      <w:r>
        <w:rPr>
          <w:rStyle w:val="dn"/>
          <w:szCs w:val="24"/>
        </w:rPr>
        <w:t xml:space="preserve">ázet v obvodu exekutora, který byl exekucí pověřen. Exekutor tak chtě nechtě bude muset vážit za povinným cestu kamkoliv v ČR, kde se tento bude skutečně zdržovat. Úspora nákladů za mobiliární exekuce je tedy pouze zdánlivá.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Je zcela iluzorní představa, že exekutor pů</w:t>
      </w:r>
      <w:r>
        <w:rPr>
          <w:rStyle w:val="dn"/>
          <w:szCs w:val="24"/>
          <w:lang w:val="es-ES_tradnl"/>
        </w:rPr>
        <w:t>sob</w:t>
      </w:r>
      <w:r>
        <w:rPr>
          <w:rStyle w:val="dn"/>
          <w:szCs w:val="24"/>
        </w:rPr>
        <w:t>ící v místě bydliště povinn</w:t>
      </w:r>
      <w:r>
        <w:rPr>
          <w:rStyle w:val="dn"/>
          <w:szCs w:val="24"/>
          <w:lang w:val="fr-FR"/>
        </w:rPr>
        <w:t>é</w:t>
      </w:r>
      <w:r>
        <w:rPr>
          <w:rStyle w:val="dn"/>
          <w:szCs w:val="24"/>
        </w:rPr>
        <w:t>ho (ve stejn</w:t>
      </w:r>
      <w:r>
        <w:rPr>
          <w:rStyle w:val="dn"/>
          <w:szCs w:val="24"/>
          <w:lang w:val="fr-FR"/>
        </w:rPr>
        <w:t>é</w:t>
      </w:r>
      <w:r>
        <w:rPr>
          <w:rStyle w:val="dn"/>
          <w:szCs w:val="24"/>
        </w:rPr>
        <w:t>m soudním kraji!), ví o poměrech povinn</w:t>
      </w:r>
      <w:r>
        <w:rPr>
          <w:rStyle w:val="dn"/>
          <w:szCs w:val="24"/>
          <w:lang w:val="fr-FR"/>
        </w:rPr>
        <w:t>é</w:t>
      </w:r>
      <w:r>
        <w:rPr>
          <w:rStyle w:val="dn"/>
          <w:szCs w:val="24"/>
        </w:rPr>
        <w:t xml:space="preserve">ho víc. </w:t>
      </w:r>
    </w:p>
    <w:p w:rsidR="009B70FF" w:rsidRDefault="009B70FF" w:rsidP="009B70FF">
      <w:pPr>
        <w:spacing w:line="240" w:lineRule="auto"/>
        <w:rPr>
          <w:rStyle w:val="dn"/>
          <w:rFonts w:eastAsia="Times New Roman" w:cs="Times New Roman"/>
          <w:b/>
          <w:bCs/>
          <w:szCs w:val="24"/>
        </w:rPr>
      </w:pPr>
    </w:p>
    <w:p w:rsidR="009B70FF" w:rsidRDefault="009B70FF" w:rsidP="009B70FF">
      <w:pPr>
        <w:spacing w:line="240" w:lineRule="auto"/>
        <w:rPr>
          <w:rStyle w:val="dn"/>
          <w:rFonts w:eastAsia="Times New Roman" w:cs="Times New Roman"/>
          <w:b/>
          <w:bCs/>
          <w:szCs w:val="24"/>
        </w:rPr>
      </w:pPr>
      <w:r>
        <w:rPr>
          <w:rStyle w:val="dn"/>
          <w:b/>
          <w:bCs/>
          <w:szCs w:val="24"/>
        </w:rPr>
        <w:t xml:space="preserve">8) Zamezení </w:t>
      </w:r>
      <w:r>
        <w:rPr>
          <w:rStyle w:val="dn"/>
          <w:b/>
          <w:bCs/>
          <w:szCs w:val="24"/>
          <w:lang w:val="pt-PT"/>
        </w:rPr>
        <w:t>exces</w:t>
      </w:r>
      <w:r>
        <w:rPr>
          <w:rStyle w:val="dn"/>
          <w:b/>
          <w:bCs/>
          <w:szCs w:val="24"/>
        </w:rPr>
        <w:t xml:space="preserve">ů exekutorů </w:t>
      </w:r>
    </w:p>
    <w:p w:rsidR="009B70FF" w:rsidRDefault="009B70FF" w:rsidP="009B70FF">
      <w:pPr>
        <w:spacing w:line="240" w:lineRule="auto"/>
        <w:rPr>
          <w:rStyle w:val="dn"/>
          <w:rFonts w:eastAsia="Times New Roman" w:cs="Times New Roman"/>
          <w:szCs w:val="24"/>
        </w:rPr>
      </w:pPr>
    </w:p>
    <w:p w:rsidR="009B70FF" w:rsidRDefault="009B70FF" w:rsidP="007A2179">
      <w:pPr>
        <w:pStyle w:val="Odstavecseseznamem"/>
        <w:numPr>
          <w:ilvl w:val="0"/>
          <w:numId w:val="27"/>
        </w:numPr>
        <w:pBdr>
          <w:top w:val="nil"/>
          <w:left w:val="nil"/>
          <w:bottom w:val="nil"/>
          <w:right w:val="nil"/>
          <w:between w:val="nil"/>
          <w:bar w:val="nil"/>
        </w:pBdr>
        <w:spacing w:before="0" w:after="71" w:line="240" w:lineRule="auto"/>
        <w:contextualSpacing w:val="0"/>
        <w:rPr>
          <w:szCs w:val="24"/>
        </w:rPr>
      </w:pPr>
      <w:r>
        <w:rPr>
          <w:rStyle w:val="dn"/>
          <w:szCs w:val="24"/>
        </w:rPr>
        <w:t>Tvrzení, že zavedením místní příslušnosti zabrání</w:t>
      </w:r>
      <w:r>
        <w:rPr>
          <w:rStyle w:val="dn"/>
          <w:szCs w:val="24"/>
          <w:lang w:val="pt-PT"/>
        </w:rPr>
        <w:t>me exces</w:t>
      </w:r>
      <w:r>
        <w:rPr>
          <w:rStyle w:val="dn"/>
          <w:szCs w:val="24"/>
        </w:rPr>
        <w:t>ům exekutorů, zcela nerozumím. Je pravdou, že zejm</w:t>
      </w:r>
      <w:r>
        <w:rPr>
          <w:rStyle w:val="dn"/>
          <w:szCs w:val="24"/>
          <w:lang w:val="fr-FR"/>
        </w:rPr>
        <w:t>é</w:t>
      </w:r>
      <w:r>
        <w:rPr>
          <w:rStyle w:val="dn"/>
          <w:szCs w:val="24"/>
        </w:rPr>
        <w:t>na v masový</w:t>
      </w:r>
      <w:r>
        <w:rPr>
          <w:rStyle w:val="dn"/>
          <w:szCs w:val="24"/>
          <w:lang w:val="de-DE"/>
        </w:rPr>
        <w:t>ch m</w:t>
      </w:r>
      <w:r>
        <w:rPr>
          <w:rStyle w:val="dn"/>
          <w:szCs w:val="24"/>
          <w:lang w:val="fr-FR"/>
        </w:rPr>
        <w:t>é</w:t>
      </w:r>
      <w:r>
        <w:rPr>
          <w:rStyle w:val="dn"/>
          <w:szCs w:val="24"/>
        </w:rPr>
        <w:t>diích je v t</w:t>
      </w:r>
      <w:r>
        <w:rPr>
          <w:rStyle w:val="dn"/>
          <w:szCs w:val="24"/>
          <w:lang w:val="fr-FR"/>
        </w:rPr>
        <w:t>é</w:t>
      </w:r>
      <w:r>
        <w:rPr>
          <w:rStyle w:val="dn"/>
          <w:szCs w:val="24"/>
        </w:rPr>
        <w:t>to souvislosti často skloňováno jm</w:t>
      </w:r>
      <w:r>
        <w:rPr>
          <w:rStyle w:val="dn"/>
          <w:szCs w:val="24"/>
          <w:lang w:val="fr-FR"/>
        </w:rPr>
        <w:t>é</w:t>
      </w:r>
      <w:r>
        <w:rPr>
          <w:rStyle w:val="dn"/>
          <w:szCs w:val="24"/>
          <w:lang w:val="it-IT"/>
        </w:rPr>
        <w:t>no p</w:t>
      </w:r>
      <w:r>
        <w:rPr>
          <w:rStyle w:val="dn"/>
          <w:szCs w:val="24"/>
        </w:rPr>
        <w:t>řerovsk</w:t>
      </w:r>
      <w:r>
        <w:rPr>
          <w:rStyle w:val="dn"/>
          <w:szCs w:val="24"/>
          <w:lang w:val="fr-FR"/>
        </w:rPr>
        <w:t>é</w:t>
      </w:r>
      <w:r>
        <w:rPr>
          <w:rStyle w:val="dn"/>
          <w:szCs w:val="24"/>
        </w:rPr>
        <w:t>ho soudního exekutora Vrány. Nicm</w:t>
      </w:r>
      <w:r>
        <w:rPr>
          <w:rStyle w:val="dn"/>
          <w:szCs w:val="24"/>
          <w:lang w:val="fr-FR"/>
        </w:rPr>
        <w:t>é</w:t>
      </w:r>
      <w:r>
        <w:rPr>
          <w:rStyle w:val="dn"/>
          <w:szCs w:val="24"/>
        </w:rPr>
        <w:t>ně nikdy nepadl jediný argument, jak by zavedení teritoriality mohlo zabránit exekutorům porušovat předpisy a jak je donutí provádět svoji práci v mezí</w:t>
      </w:r>
      <w:r>
        <w:rPr>
          <w:rStyle w:val="dn"/>
          <w:szCs w:val="24"/>
          <w:lang w:val="en-US"/>
        </w:rPr>
        <w:t>ch mor</w:t>
      </w:r>
      <w:r>
        <w:rPr>
          <w:rStyle w:val="dn"/>
          <w:szCs w:val="24"/>
        </w:rPr>
        <w:t xml:space="preserve">álky.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lang w:val="de-DE"/>
        </w:rPr>
      </w:pPr>
      <w:r>
        <w:rPr>
          <w:rStyle w:val="dn"/>
          <w:szCs w:val="24"/>
          <w:lang w:val="de-DE"/>
        </w:rPr>
        <w:t>Probl</w:t>
      </w:r>
      <w:r>
        <w:rPr>
          <w:rStyle w:val="dn"/>
          <w:szCs w:val="24"/>
          <w:lang w:val="fr-FR"/>
        </w:rPr>
        <w:t>é</w:t>
      </w:r>
      <w:r>
        <w:rPr>
          <w:rStyle w:val="dn"/>
          <w:szCs w:val="24"/>
          <w:lang w:val="pt-PT"/>
        </w:rPr>
        <w:t>m exces</w:t>
      </w:r>
      <w:r>
        <w:rPr>
          <w:rStyle w:val="dn"/>
          <w:szCs w:val="24"/>
        </w:rPr>
        <w:t>ů exekutorů spočívá v absolutní</w:t>
      </w:r>
      <w:r>
        <w:rPr>
          <w:rStyle w:val="dn"/>
          <w:szCs w:val="24"/>
          <w:lang w:val="pt-PT"/>
        </w:rPr>
        <w:t>m selh</w:t>
      </w:r>
      <w:r>
        <w:rPr>
          <w:rStyle w:val="dn"/>
          <w:szCs w:val="24"/>
        </w:rPr>
        <w:t>ání kontrolních a stavovských mechanismů a dohledu MSČR. S územím to nemá nic společn</w:t>
      </w:r>
      <w:r>
        <w:rPr>
          <w:rStyle w:val="dn"/>
          <w:szCs w:val="24"/>
          <w:lang w:val="fr-FR"/>
        </w:rPr>
        <w:t>é</w:t>
      </w:r>
      <w:r>
        <w:rPr>
          <w:rStyle w:val="dn"/>
          <w:szCs w:val="24"/>
          <w:lang w:val="it-IT"/>
        </w:rPr>
        <w:t>ho. Na</w:t>
      </w:r>
      <w:r>
        <w:rPr>
          <w:rStyle w:val="dn"/>
          <w:szCs w:val="24"/>
        </w:rPr>
        <w:t>še vnitřní probl</w:t>
      </w:r>
      <w:r>
        <w:rPr>
          <w:rStyle w:val="dn"/>
          <w:szCs w:val="24"/>
          <w:lang w:val="fr-FR"/>
        </w:rPr>
        <w:t>é</w:t>
      </w:r>
      <w:r>
        <w:rPr>
          <w:rStyle w:val="dn"/>
          <w:szCs w:val="24"/>
        </w:rPr>
        <w:t>my jsou tak pouze přenášeny na oprávněn</w:t>
      </w:r>
      <w:r>
        <w:rPr>
          <w:rStyle w:val="dn"/>
          <w:szCs w:val="24"/>
          <w:lang w:val="fr-FR"/>
        </w:rPr>
        <w:t>é</w:t>
      </w:r>
      <w:r>
        <w:rPr>
          <w:rStyle w:val="dn"/>
          <w:szCs w:val="24"/>
        </w:rPr>
        <w:t xml:space="preserve">. </w:t>
      </w:r>
    </w:p>
    <w:p w:rsidR="009B70FF" w:rsidRDefault="009B70FF" w:rsidP="009B70FF">
      <w:pPr>
        <w:spacing w:line="240" w:lineRule="auto"/>
        <w:rPr>
          <w:rStyle w:val="dn"/>
          <w:szCs w:val="24"/>
        </w:rPr>
      </w:pPr>
    </w:p>
    <w:p w:rsidR="009B70FF" w:rsidRDefault="009B70FF" w:rsidP="009B70FF">
      <w:pPr>
        <w:spacing w:line="240" w:lineRule="auto"/>
        <w:rPr>
          <w:rStyle w:val="dn"/>
          <w:rFonts w:eastAsia="Times New Roman" w:cs="Times New Roman"/>
          <w:b/>
          <w:bCs/>
          <w:szCs w:val="24"/>
        </w:rPr>
      </w:pPr>
      <w:r>
        <w:rPr>
          <w:rStyle w:val="dn"/>
          <w:b/>
          <w:bCs/>
          <w:szCs w:val="24"/>
        </w:rPr>
        <w:t>9) Zvýšen</w:t>
      </w:r>
      <w:r>
        <w:rPr>
          <w:rStyle w:val="dn"/>
          <w:b/>
          <w:bCs/>
          <w:szCs w:val="24"/>
          <w:lang w:val="fr-FR"/>
        </w:rPr>
        <w:t xml:space="preserve">é </w:t>
      </w:r>
      <w:r>
        <w:rPr>
          <w:rStyle w:val="dn"/>
          <w:b/>
          <w:bCs/>
          <w:szCs w:val="24"/>
        </w:rPr>
        <w:t xml:space="preserve">náklady pro exekutory, změna způsobu práce </w:t>
      </w:r>
    </w:p>
    <w:p w:rsidR="009B70FF" w:rsidRDefault="009B70FF" w:rsidP="009B70FF">
      <w:pPr>
        <w:spacing w:line="240" w:lineRule="auto"/>
        <w:rPr>
          <w:rStyle w:val="dn"/>
          <w:rFonts w:eastAsia="Times New Roman" w:cs="Times New Roman"/>
          <w:szCs w:val="24"/>
        </w:rPr>
      </w:pP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V důvodov</w:t>
      </w:r>
      <w:r>
        <w:rPr>
          <w:rStyle w:val="dn"/>
          <w:szCs w:val="24"/>
          <w:lang w:val="fr-FR"/>
        </w:rPr>
        <w:t xml:space="preserve">é </w:t>
      </w:r>
      <w:r>
        <w:rPr>
          <w:rStyle w:val="dn"/>
          <w:szCs w:val="24"/>
        </w:rPr>
        <w:t>zprávě k novele je obsažen návrh, aby novela byla účinná od 1. 1. 2015, údajně proto, aby exekutoři měli dostatek času na realizaci potřebných opatření. Zřejmě se ale nikdo z poslanců už nezamýšlel nad tím, jak zásadní změna ve fungování cel</w:t>
      </w:r>
      <w:r>
        <w:rPr>
          <w:rStyle w:val="dn"/>
          <w:szCs w:val="24"/>
          <w:lang w:val="fr-FR"/>
        </w:rPr>
        <w:t>é</w:t>
      </w:r>
      <w:r>
        <w:rPr>
          <w:rStyle w:val="dn"/>
          <w:szCs w:val="24"/>
        </w:rPr>
        <w:t>ho syst</w:t>
      </w:r>
      <w:r>
        <w:rPr>
          <w:rStyle w:val="dn"/>
          <w:szCs w:val="24"/>
          <w:lang w:val="fr-FR"/>
        </w:rPr>
        <w:t>é</w:t>
      </w:r>
      <w:r>
        <w:rPr>
          <w:rStyle w:val="dn"/>
          <w:szCs w:val="24"/>
        </w:rPr>
        <w:t>mu exekučního vymáhání to bude a jak</w:t>
      </w:r>
      <w:r>
        <w:rPr>
          <w:rStyle w:val="dn"/>
          <w:szCs w:val="24"/>
          <w:lang w:val="fr-FR"/>
        </w:rPr>
        <w:t xml:space="preserve">é </w:t>
      </w:r>
      <w:r>
        <w:rPr>
          <w:rStyle w:val="dn"/>
          <w:szCs w:val="24"/>
        </w:rPr>
        <w:t xml:space="preserve">náklady s sebou ponese.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Pominu-li náklady státu na vybudování efektivního a transparentního syst</w:t>
      </w:r>
      <w:r>
        <w:rPr>
          <w:rStyle w:val="dn"/>
          <w:szCs w:val="24"/>
          <w:lang w:val="fr-FR"/>
        </w:rPr>
        <w:t>é</w:t>
      </w:r>
      <w:r>
        <w:rPr>
          <w:rStyle w:val="dn"/>
          <w:szCs w:val="24"/>
        </w:rPr>
        <w:t xml:space="preserve">mu přidělování exekucí jednotlivým exekutorům, vyrobení </w:t>
      </w:r>
      <w:r>
        <w:rPr>
          <w:rStyle w:val="dn"/>
          <w:szCs w:val="24"/>
          <w:lang w:val="da-DK"/>
        </w:rPr>
        <w:t>formul</w:t>
      </w:r>
      <w:r>
        <w:rPr>
          <w:rStyle w:val="dn"/>
          <w:szCs w:val="24"/>
        </w:rPr>
        <w:t xml:space="preserve">ářů </w:t>
      </w:r>
      <w:r>
        <w:rPr>
          <w:rStyle w:val="dn"/>
          <w:szCs w:val="24"/>
          <w:lang w:val="it-IT"/>
        </w:rPr>
        <w:t>a dal</w:t>
      </w:r>
      <w:r>
        <w:rPr>
          <w:rStyle w:val="dn"/>
          <w:szCs w:val="24"/>
        </w:rPr>
        <w:t xml:space="preserve">ších souvisejících prvků, měli by počítat s mnohamilionovými nezbytně nutně vynaloženými náklady exekutorů k přípravě na tuto změnu. </w:t>
      </w:r>
    </w:p>
    <w:p w:rsidR="009B70FF" w:rsidRDefault="009B70FF" w:rsidP="007A2179">
      <w:pPr>
        <w:pStyle w:val="Odstavecseseznamem"/>
        <w:numPr>
          <w:ilvl w:val="0"/>
          <w:numId w:val="27"/>
        </w:numPr>
        <w:pBdr>
          <w:top w:val="nil"/>
          <w:left w:val="nil"/>
          <w:bottom w:val="nil"/>
          <w:right w:val="nil"/>
          <w:between w:val="nil"/>
          <w:bar w:val="nil"/>
        </w:pBdr>
        <w:spacing w:before="0" w:after="70" w:line="240" w:lineRule="auto"/>
        <w:contextualSpacing w:val="0"/>
        <w:rPr>
          <w:szCs w:val="24"/>
        </w:rPr>
      </w:pPr>
      <w:r>
        <w:rPr>
          <w:rStyle w:val="dn"/>
          <w:szCs w:val="24"/>
        </w:rPr>
        <w:t>Jsem si t</w:t>
      </w:r>
      <w:r>
        <w:rPr>
          <w:rStyle w:val="dn"/>
          <w:szCs w:val="24"/>
          <w:lang w:val="fr-FR"/>
        </w:rPr>
        <w:t>é</w:t>
      </w:r>
      <w:r>
        <w:rPr>
          <w:rStyle w:val="dn"/>
          <w:szCs w:val="24"/>
        </w:rPr>
        <w:t>měř stoprocentně jistá, že mnoho exekutorů, kteří jakož</w:t>
      </w:r>
      <w:r>
        <w:rPr>
          <w:rStyle w:val="dn"/>
          <w:szCs w:val="24"/>
          <w:lang w:val="en-US"/>
        </w:rPr>
        <w:t xml:space="preserve">to </w:t>
      </w:r>
      <w:r>
        <w:rPr>
          <w:rStyle w:val="dn"/>
          <w:szCs w:val="24"/>
        </w:rPr>
        <w:t>úspěšní podnikatel</w:t>
      </w:r>
      <w:r>
        <w:rPr>
          <w:rStyle w:val="dn"/>
          <w:szCs w:val="24"/>
          <w:lang w:val="fr-FR"/>
        </w:rPr>
        <w:t xml:space="preserve">é </w:t>
      </w:r>
      <w:r>
        <w:rPr>
          <w:rStyle w:val="dn"/>
          <w:szCs w:val="24"/>
        </w:rPr>
        <w:t>investovali desítky milionů do modernizace a automatizace svý</w:t>
      </w:r>
      <w:r>
        <w:rPr>
          <w:rStyle w:val="dn"/>
          <w:szCs w:val="24"/>
          <w:lang w:val="en-US"/>
        </w:rPr>
        <w:t>ch softwar</w:t>
      </w:r>
      <w:r>
        <w:rPr>
          <w:rStyle w:val="dn"/>
          <w:szCs w:val="24"/>
        </w:rPr>
        <w:t>ů, kter</w:t>
      </w:r>
      <w:r>
        <w:rPr>
          <w:rStyle w:val="dn"/>
          <w:szCs w:val="24"/>
          <w:lang w:val="fr-FR"/>
        </w:rPr>
        <w:t xml:space="preserve">é </w:t>
      </w:r>
      <w:r>
        <w:rPr>
          <w:rStyle w:val="dn"/>
          <w:szCs w:val="24"/>
        </w:rPr>
        <w:t>umí velmi rychle a efektivně zpracovat velk</w:t>
      </w:r>
      <w:r>
        <w:rPr>
          <w:rStyle w:val="dn"/>
          <w:szCs w:val="24"/>
          <w:lang w:val="fr-FR"/>
        </w:rPr>
        <w:t xml:space="preserve">é </w:t>
      </w:r>
      <w:r>
        <w:rPr>
          <w:rStyle w:val="dn"/>
          <w:szCs w:val="24"/>
        </w:rPr>
        <w:t>množství exekucí, se budou na státu domá</w:t>
      </w:r>
      <w:r>
        <w:rPr>
          <w:rStyle w:val="dn"/>
          <w:szCs w:val="24"/>
          <w:lang w:val="en-US"/>
        </w:rPr>
        <w:t>hat n</w:t>
      </w:r>
      <w:r>
        <w:rPr>
          <w:rStyle w:val="dn"/>
          <w:szCs w:val="24"/>
        </w:rPr>
        <w:t>áhrady škody za tyto zmařen</w:t>
      </w:r>
      <w:r>
        <w:rPr>
          <w:rStyle w:val="dn"/>
          <w:szCs w:val="24"/>
          <w:lang w:val="fr-FR"/>
        </w:rPr>
        <w:t xml:space="preserve">é </w:t>
      </w:r>
      <w:r>
        <w:rPr>
          <w:rStyle w:val="dn"/>
          <w:szCs w:val="24"/>
        </w:rPr>
        <w:t>investice. Další mnohdy nemalou položkou v rozpočtu exekutora bude náklad na vyplacení odstupn</w:t>
      </w:r>
      <w:r>
        <w:rPr>
          <w:rStyle w:val="dn"/>
          <w:szCs w:val="24"/>
          <w:lang w:val="fr-FR"/>
        </w:rPr>
        <w:t>é</w:t>
      </w:r>
      <w:r>
        <w:rPr>
          <w:rStyle w:val="dn"/>
          <w:szCs w:val="24"/>
        </w:rPr>
        <w:t xml:space="preserve">ho většině svých zaměstnanců pro nadbytečnost. Místo 80 zaměstnanců jich bude potřeba třeba jen 20. Kdo exekutorovi bude tyto náklady kompenzovat? A to nepočítám náklady za pronájem a stěhování </w:t>
      </w:r>
      <w:r>
        <w:rPr>
          <w:rStyle w:val="dn"/>
          <w:szCs w:val="24"/>
          <w:lang w:val="pt-PT"/>
        </w:rPr>
        <w:t>do men</w:t>
      </w:r>
      <w:r>
        <w:rPr>
          <w:rStyle w:val="dn"/>
          <w:szCs w:val="24"/>
        </w:rPr>
        <w:t>ších prostor, úhrady smluvních pokut za předčasn</w:t>
      </w:r>
      <w:r>
        <w:rPr>
          <w:rStyle w:val="dn"/>
          <w:szCs w:val="24"/>
          <w:lang w:val="fr-FR"/>
        </w:rPr>
        <w:t xml:space="preserve">é </w:t>
      </w:r>
      <w:r>
        <w:rPr>
          <w:rStyle w:val="dn"/>
          <w:szCs w:val="24"/>
        </w:rPr>
        <w:t>ukončení stávající</w:t>
      </w:r>
      <w:r>
        <w:rPr>
          <w:rStyle w:val="dn"/>
          <w:szCs w:val="24"/>
          <w:lang w:val="de-DE"/>
        </w:rPr>
        <w:t>ch n</w:t>
      </w:r>
      <w:r>
        <w:rPr>
          <w:rStyle w:val="dn"/>
          <w:szCs w:val="24"/>
        </w:rPr>
        <w:t>ájmů atd. Toto se týká především tě</w:t>
      </w:r>
      <w:r>
        <w:rPr>
          <w:rStyle w:val="dn"/>
          <w:szCs w:val="24"/>
          <w:lang w:val="de-DE"/>
        </w:rPr>
        <w:t xml:space="preserve">ch </w:t>
      </w:r>
      <w:r>
        <w:rPr>
          <w:rStyle w:val="dn"/>
          <w:szCs w:val="24"/>
        </w:rPr>
        <w:t xml:space="preserve">„velkých“ úřadů. </w:t>
      </w:r>
    </w:p>
    <w:p w:rsidR="009B70FF" w:rsidRDefault="009B70FF" w:rsidP="007A2179">
      <w:pPr>
        <w:pStyle w:val="Odstavecseseznamem"/>
        <w:numPr>
          <w:ilvl w:val="0"/>
          <w:numId w:val="27"/>
        </w:numPr>
        <w:pBdr>
          <w:top w:val="nil"/>
          <w:left w:val="nil"/>
          <w:bottom w:val="nil"/>
          <w:right w:val="nil"/>
          <w:between w:val="nil"/>
          <w:bar w:val="nil"/>
        </w:pBdr>
        <w:spacing w:before="0" w:line="240" w:lineRule="auto"/>
        <w:contextualSpacing w:val="0"/>
        <w:rPr>
          <w:szCs w:val="24"/>
        </w:rPr>
      </w:pPr>
      <w:r>
        <w:rPr>
          <w:rStyle w:val="dn"/>
          <w:szCs w:val="24"/>
        </w:rPr>
        <w:t>Malé úřady zase budou mít starosti a náklady s vzrůstajícím poč</w:t>
      </w:r>
      <w:r>
        <w:rPr>
          <w:rStyle w:val="dn"/>
          <w:szCs w:val="24"/>
          <w:lang w:val="pt-PT"/>
        </w:rPr>
        <w:t>tem n</w:t>
      </w:r>
      <w:r>
        <w:rPr>
          <w:rStyle w:val="dn"/>
          <w:szCs w:val="24"/>
        </w:rPr>
        <w:t>ápadu spisů. S předstihem, aniž by přesně věděli kolik, co a jak, budou muset nabrat předem odhadnutý poč</w:t>
      </w:r>
      <w:r>
        <w:rPr>
          <w:rStyle w:val="dn"/>
          <w:szCs w:val="24"/>
          <w:lang w:val="nl-NL"/>
        </w:rPr>
        <w:t>et zam</w:t>
      </w:r>
      <w:r>
        <w:rPr>
          <w:rStyle w:val="dn"/>
          <w:szCs w:val="24"/>
        </w:rPr>
        <w:t>ěstnanců, zaškolit je a hradit jim mzdu aniž by je do účinnosti novely efektivně využ</w:t>
      </w:r>
      <w:r>
        <w:rPr>
          <w:rStyle w:val="dn"/>
          <w:szCs w:val="24"/>
          <w:lang w:val="it-IT"/>
        </w:rPr>
        <w:t>ili. Je</w:t>
      </w:r>
      <w:r>
        <w:rPr>
          <w:rStyle w:val="dn"/>
          <w:szCs w:val="24"/>
        </w:rPr>
        <w:t>ště větší položkou může být nutnost změny sídla a možná největší položkou investice do softwaru, který bude schopen pracovat s mnohonásobně vyšším počtem kauz. Pokud tuto investici neudělají</w:t>
      </w:r>
      <w:r>
        <w:rPr>
          <w:rStyle w:val="dn"/>
          <w:szCs w:val="24"/>
          <w:lang w:val="fr-FR"/>
        </w:rPr>
        <w:t>, cel</w:t>
      </w:r>
      <w:r>
        <w:rPr>
          <w:rStyle w:val="dn"/>
          <w:szCs w:val="24"/>
        </w:rPr>
        <w:t>ý syst</w:t>
      </w:r>
      <w:r>
        <w:rPr>
          <w:rStyle w:val="dn"/>
          <w:szCs w:val="24"/>
          <w:lang w:val="fr-FR"/>
        </w:rPr>
        <w:t>é</w:t>
      </w:r>
      <w:r>
        <w:rPr>
          <w:rStyle w:val="dn"/>
          <w:szCs w:val="24"/>
        </w:rPr>
        <w:t>m vymáhání práva v Č</w:t>
      </w:r>
      <w:r>
        <w:rPr>
          <w:rStyle w:val="dn"/>
          <w:szCs w:val="24"/>
          <w:lang w:val="de-DE"/>
        </w:rPr>
        <w:t>R m</w:t>
      </w:r>
      <w:r>
        <w:rPr>
          <w:rStyle w:val="dn"/>
          <w:szCs w:val="24"/>
        </w:rPr>
        <w:t xml:space="preserve">ůže ze dne na den zkolabovat. </w:t>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r>
        <w:rPr>
          <w:rStyle w:val="dn"/>
          <w:szCs w:val="24"/>
        </w:rPr>
        <w:t>Závěrem si dovolí</w:t>
      </w:r>
      <w:r>
        <w:rPr>
          <w:rStyle w:val="dn"/>
          <w:szCs w:val="24"/>
          <w:lang w:val="pt-PT"/>
        </w:rPr>
        <w:t>m p</w:t>
      </w:r>
      <w:r>
        <w:rPr>
          <w:rStyle w:val="dn"/>
          <w:szCs w:val="24"/>
        </w:rPr>
        <w:t>řipomenout, že v době před rokem 2001 byla vymahatelnost práva v ČR okolo 2 %. Před vstupem ČR do EU byl ze strany EU velký tlak na to, aby se vymahatelnost práva v ČR zvýšila. Zavedením soudních exekutorů v dnešní podobě se vymahatelnost práva dostává někam ke 40 %. Tato krit</w:t>
      </w:r>
      <w:r>
        <w:rPr>
          <w:rStyle w:val="dn"/>
          <w:szCs w:val="24"/>
          <w:lang w:val="fr-FR"/>
        </w:rPr>
        <w:t>é</w:t>
      </w:r>
      <w:r>
        <w:rPr>
          <w:rStyle w:val="dn"/>
          <w:szCs w:val="24"/>
        </w:rPr>
        <w:t>ria je třeba neustá</w:t>
      </w:r>
      <w:r>
        <w:rPr>
          <w:rStyle w:val="dn"/>
          <w:szCs w:val="24"/>
          <w:lang w:val="it-IT"/>
        </w:rPr>
        <w:t>le spl</w:t>
      </w:r>
      <w:r>
        <w:rPr>
          <w:rStyle w:val="dn"/>
          <w:szCs w:val="24"/>
        </w:rPr>
        <w:t>ňovat. Pokud bych si měla zahrát na věštce, tak tvrdím, že přijetím všech těchto plánovaných změn nastane na 3-5 let propad, pak se navrátíme k osvědčen</w:t>
      </w:r>
      <w:r>
        <w:rPr>
          <w:rStyle w:val="dn"/>
          <w:szCs w:val="24"/>
          <w:lang w:val="fr-FR"/>
        </w:rPr>
        <w:t>é</w:t>
      </w:r>
      <w:r>
        <w:rPr>
          <w:rStyle w:val="dn"/>
          <w:szCs w:val="24"/>
        </w:rPr>
        <w:t xml:space="preserve">mu modelu soudních exekutorů. Ve výsledku to přinese ztráty pro všechny, získá jedině povinný, jehož dluhy nebude nikdo vymáhat. </w:t>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jc w:val="right"/>
        <w:rPr>
          <w:rStyle w:val="dn"/>
          <w:rFonts w:eastAsia="Times New Roman" w:cs="Times New Roman"/>
          <w:szCs w:val="24"/>
        </w:rPr>
      </w:pPr>
      <w:r>
        <w:rPr>
          <w:rStyle w:val="dn"/>
          <w:szCs w:val="24"/>
        </w:rPr>
        <w:t xml:space="preserve">Mgr. Zuzana Sobíšková </w:t>
      </w:r>
    </w:p>
    <w:p w:rsidR="009B70FF" w:rsidRDefault="009B70FF" w:rsidP="009B70FF">
      <w:pPr>
        <w:spacing w:line="240" w:lineRule="auto"/>
        <w:jc w:val="right"/>
        <w:rPr>
          <w:rStyle w:val="dn"/>
          <w:rFonts w:eastAsia="Times New Roman" w:cs="Times New Roman"/>
          <w:szCs w:val="24"/>
        </w:rPr>
      </w:pPr>
      <w:r>
        <w:rPr>
          <w:rStyle w:val="dn"/>
          <w:szCs w:val="24"/>
        </w:rPr>
        <w:t>Soudní exekutor</w:t>
      </w:r>
    </w:p>
    <w:p w:rsidR="009B70FF" w:rsidRDefault="009B70FF" w:rsidP="009B70FF">
      <w:pPr>
        <w:pStyle w:val="Default"/>
        <w:jc w:val="both"/>
      </w:pPr>
    </w:p>
    <w:p w:rsidR="009B70FF" w:rsidRDefault="009B70FF" w:rsidP="009B70FF">
      <w:pPr>
        <w:spacing w:line="240" w:lineRule="auto"/>
        <w:rPr>
          <w:rStyle w:val="dn"/>
        </w:rPr>
      </w:pPr>
    </w:p>
    <w:p w:rsidR="009B70FF" w:rsidRDefault="009B70FF" w:rsidP="009B70FF">
      <w:pPr>
        <w:spacing w:line="240" w:lineRule="auto"/>
        <w:rPr>
          <w:rStyle w:val="dn"/>
        </w:rPr>
      </w:pPr>
    </w:p>
    <w:p w:rsidR="009B70FF" w:rsidRDefault="009B70FF" w:rsidP="009B70FF">
      <w:pPr>
        <w:spacing w:line="240" w:lineRule="auto"/>
        <w:rPr>
          <w:rStyle w:val="dn"/>
        </w:rPr>
      </w:pPr>
    </w:p>
    <w:p w:rsidR="009B70FF" w:rsidRDefault="009B70FF"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5C706D" w:rsidRDefault="005C706D" w:rsidP="009B70FF">
      <w:pPr>
        <w:spacing w:line="240" w:lineRule="auto"/>
        <w:rPr>
          <w:rStyle w:val="dn"/>
        </w:rPr>
      </w:pPr>
    </w:p>
    <w:p w:rsidR="009B70FF" w:rsidRDefault="009B70FF" w:rsidP="009B70FF">
      <w:pPr>
        <w:spacing w:line="240" w:lineRule="auto"/>
        <w:rPr>
          <w:rStyle w:val="dn"/>
        </w:rPr>
      </w:pPr>
    </w:p>
    <w:p w:rsidR="009B70FF" w:rsidRDefault="009B70FF" w:rsidP="009B70FF">
      <w:pPr>
        <w:pStyle w:val="Nadpis2"/>
        <w:rPr>
          <w:rStyle w:val="dn"/>
          <w:b w:val="0"/>
          <w:bCs w:val="0"/>
          <w:color w:val="000000"/>
          <w:sz w:val="24"/>
          <w:szCs w:val="24"/>
          <w:u w:color="000000"/>
        </w:rPr>
      </w:pPr>
      <w:bookmarkStart w:id="140" w:name="_Toc46"/>
      <w:bookmarkStart w:id="141" w:name="_Toc18276762"/>
      <w:bookmarkStart w:id="142" w:name="_Toc18313983"/>
      <w:r>
        <w:rPr>
          <w:rStyle w:val="dn"/>
          <w:color w:val="000000"/>
          <w:sz w:val="24"/>
          <w:szCs w:val="24"/>
          <w:u w:color="000000"/>
        </w:rPr>
        <w:t xml:space="preserve">Příloha č. 2- Statistiky exekucí </w:t>
      </w:r>
      <w:r>
        <w:rPr>
          <w:rStyle w:val="dn"/>
          <w:color w:val="000000"/>
          <w:sz w:val="24"/>
          <w:szCs w:val="24"/>
          <w:u w:color="000000"/>
          <w:lang w:val="pt-PT"/>
        </w:rPr>
        <w:t>2018 a v</w:t>
      </w:r>
      <w:r>
        <w:rPr>
          <w:rStyle w:val="dn"/>
          <w:color w:val="000000"/>
          <w:sz w:val="24"/>
          <w:szCs w:val="24"/>
          <w:u w:color="000000"/>
        </w:rPr>
        <w:t>ývoj exekučního řízení v Č</w:t>
      </w:r>
      <w:r>
        <w:rPr>
          <w:rStyle w:val="dn"/>
          <w:color w:val="000000"/>
          <w:sz w:val="24"/>
          <w:szCs w:val="24"/>
          <w:u w:color="000000"/>
          <w:lang w:val="de-DE"/>
        </w:rPr>
        <w:t>R v</w:t>
      </w:r>
      <w:r>
        <w:rPr>
          <w:rStyle w:val="dn"/>
          <w:color w:val="000000"/>
          <w:sz w:val="24"/>
          <w:szCs w:val="24"/>
          <w:u w:color="000000"/>
        </w:rPr>
        <w:t> letech 2016-2018 dle exekutorsk</w:t>
      </w:r>
      <w:r>
        <w:rPr>
          <w:rStyle w:val="dn"/>
          <w:color w:val="000000"/>
          <w:sz w:val="24"/>
          <w:szCs w:val="24"/>
          <w:u w:color="000000"/>
          <w:lang w:val="fr-FR"/>
        </w:rPr>
        <w:t xml:space="preserve">é </w:t>
      </w:r>
      <w:r>
        <w:rPr>
          <w:rStyle w:val="dn"/>
          <w:color w:val="000000"/>
          <w:sz w:val="24"/>
          <w:szCs w:val="24"/>
          <w:u w:color="000000"/>
        </w:rPr>
        <w:t>komory Česk</w:t>
      </w:r>
      <w:r>
        <w:rPr>
          <w:rStyle w:val="dn"/>
          <w:color w:val="000000"/>
          <w:sz w:val="24"/>
          <w:szCs w:val="24"/>
          <w:u w:color="000000"/>
          <w:lang w:val="fr-FR"/>
        </w:rPr>
        <w:t xml:space="preserve">é </w:t>
      </w:r>
      <w:r>
        <w:rPr>
          <w:rStyle w:val="dn"/>
          <w:color w:val="000000"/>
          <w:sz w:val="24"/>
          <w:szCs w:val="24"/>
          <w:u w:color="000000"/>
        </w:rPr>
        <w:t>republiky</w:t>
      </w:r>
      <w:bookmarkEnd w:id="140"/>
      <w:bookmarkEnd w:id="141"/>
      <w:bookmarkEnd w:id="142"/>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r>
        <w:rPr>
          <w:rStyle w:val="dn"/>
          <w:rFonts w:eastAsia="Times New Roman" w:cs="Times New Roman"/>
          <w:noProof/>
          <w:szCs w:val="24"/>
          <w:lang w:eastAsia="cs-CZ"/>
        </w:rPr>
        <w:drawing>
          <wp:inline distT="0" distB="0" distL="0" distR="0" wp14:anchorId="1F0C2BBC" wp14:editId="30F68A03">
            <wp:extent cx="5215890" cy="7379706"/>
            <wp:effectExtent l="0" t="0" r="0" b="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18">
                      <a:extLst/>
                    </a:blip>
                    <a:stretch>
                      <a:fillRect/>
                    </a:stretch>
                  </pic:blipFill>
                  <pic:spPr>
                    <a:xfrm>
                      <a:off x="0" y="0"/>
                      <a:ext cx="5215890" cy="7379706"/>
                    </a:xfrm>
                    <a:prstGeom prst="rect">
                      <a:avLst/>
                    </a:prstGeom>
                    <a:ln w="12700" cap="flat">
                      <a:noFill/>
                      <a:miter lim="400000"/>
                    </a:ln>
                    <a:effectLst/>
                  </pic:spPr>
                </pic:pic>
              </a:graphicData>
            </a:graphic>
          </wp:inline>
        </w:drawing>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r>
        <w:rPr>
          <w:rStyle w:val="dn"/>
          <w:rFonts w:eastAsia="Times New Roman" w:cs="Times New Roman"/>
          <w:noProof/>
          <w:szCs w:val="24"/>
          <w:lang w:eastAsia="cs-CZ"/>
        </w:rPr>
        <w:drawing>
          <wp:inline distT="0" distB="0" distL="0" distR="0" wp14:anchorId="7D197033" wp14:editId="53F24FEF">
            <wp:extent cx="5215890" cy="7379706"/>
            <wp:effectExtent l="0" t="0" r="0" b="0"/>
            <wp:docPr id="1073741826" name="officeArt object" descr="Picture 7"/>
            <wp:cNvGraphicFramePr/>
            <a:graphic xmlns:a="http://schemas.openxmlformats.org/drawingml/2006/main">
              <a:graphicData uri="http://schemas.openxmlformats.org/drawingml/2006/picture">
                <pic:pic xmlns:pic="http://schemas.openxmlformats.org/drawingml/2006/picture">
                  <pic:nvPicPr>
                    <pic:cNvPr id="1073741826" name="Picture 7" descr="Picture 7"/>
                    <pic:cNvPicPr>
                      <a:picLocks noChangeAspect="1"/>
                    </pic:cNvPicPr>
                  </pic:nvPicPr>
                  <pic:blipFill>
                    <a:blip r:embed="rId19">
                      <a:extLst/>
                    </a:blip>
                    <a:stretch>
                      <a:fillRect/>
                    </a:stretch>
                  </pic:blipFill>
                  <pic:spPr>
                    <a:xfrm>
                      <a:off x="0" y="0"/>
                      <a:ext cx="5215890" cy="7379706"/>
                    </a:xfrm>
                    <a:prstGeom prst="rect">
                      <a:avLst/>
                    </a:prstGeom>
                    <a:ln w="12700" cap="flat">
                      <a:noFill/>
                      <a:miter lim="400000"/>
                    </a:ln>
                    <a:effectLst/>
                  </pic:spPr>
                </pic:pic>
              </a:graphicData>
            </a:graphic>
          </wp:inline>
        </w:drawing>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r>
        <w:rPr>
          <w:rStyle w:val="dn"/>
          <w:rFonts w:eastAsia="Times New Roman" w:cs="Times New Roman"/>
          <w:noProof/>
          <w:szCs w:val="24"/>
          <w:lang w:eastAsia="cs-CZ"/>
        </w:rPr>
        <w:drawing>
          <wp:inline distT="0" distB="0" distL="0" distR="0" wp14:anchorId="11F163F6" wp14:editId="74948990">
            <wp:extent cx="5215890" cy="7379706"/>
            <wp:effectExtent l="0" t="0" r="0" b="0"/>
            <wp:docPr id="1073741827" name="officeArt object" descr="Picture 8"/>
            <wp:cNvGraphicFramePr/>
            <a:graphic xmlns:a="http://schemas.openxmlformats.org/drawingml/2006/main">
              <a:graphicData uri="http://schemas.openxmlformats.org/drawingml/2006/picture">
                <pic:pic xmlns:pic="http://schemas.openxmlformats.org/drawingml/2006/picture">
                  <pic:nvPicPr>
                    <pic:cNvPr id="1073741827" name="Picture 8" descr="Picture 8"/>
                    <pic:cNvPicPr>
                      <a:picLocks noChangeAspect="1"/>
                    </pic:cNvPicPr>
                  </pic:nvPicPr>
                  <pic:blipFill>
                    <a:blip r:embed="rId20">
                      <a:extLst/>
                    </a:blip>
                    <a:stretch>
                      <a:fillRect/>
                    </a:stretch>
                  </pic:blipFill>
                  <pic:spPr>
                    <a:xfrm>
                      <a:off x="0" y="0"/>
                      <a:ext cx="5215890" cy="7379706"/>
                    </a:xfrm>
                    <a:prstGeom prst="rect">
                      <a:avLst/>
                    </a:prstGeom>
                    <a:ln w="12700" cap="flat">
                      <a:noFill/>
                      <a:miter lim="400000"/>
                    </a:ln>
                    <a:effectLst/>
                  </pic:spPr>
                </pic:pic>
              </a:graphicData>
            </a:graphic>
          </wp:inline>
        </w:drawing>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r>
        <w:rPr>
          <w:rStyle w:val="dn"/>
          <w:rFonts w:eastAsia="Times New Roman" w:cs="Times New Roman"/>
          <w:noProof/>
          <w:szCs w:val="24"/>
          <w:lang w:eastAsia="cs-CZ"/>
        </w:rPr>
        <w:drawing>
          <wp:inline distT="0" distB="0" distL="0" distR="0" wp14:anchorId="016E582C" wp14:editId="01393108">
            <wp:extent cx="5215890" cy="7379706"/>
            <wp:effectExtent l="0" t="0" r="0" b="0"/>
            <wp:docPr id="1073741828" name="officeArt object" descr="Picture 9"/>
            <wp:cNvGraphicFramePr/>
            <a:graphic xmlns:a="http://schemas.openxmlformats.org/drawingml/2006/main">
              <a:graphicData uri="http://schemas.openxmlformats.org/drawingml/2006/picture">
                <pic:pic xmlns:pic="http://schemas.openxmlformats.org/drawingml/2006/picture">
                  <pic:nvPicPr>
                    <pic:cNvPr id="1073741828" name="Picture 9" descr="Picture 9"/>
                    <pic:cNvPicPr>
                      <a:picLocks noChangeAspect="1"/>
                    </pic:cNvPicPr>
                  </pic:nvPicPr>
                  <pic:blipFill>
                    <a:blip r:embed="rId21">
                      <a:extLst/>
                    </a:blip>
                    <a:stretch>
                      <a:fillRect/>
                    </a:stretch>
                  </pic:blipFill>
                  <pic:spPr>
                    <a:xfrm>
                      <a:off x="0" y="0"/>
                      <a:ext cx="5215890" cy="7379706"/>
                    </a:xfrm>
                    <a:prstGeom prst="rect">
                      <a:avLst/>
                    </a:prstGeom>
                    <a:ln w="12700" cap="flat">
                      <a:noFill/>
                      <a:miter lim="400000"/>
                    </a:ln>
                    <a:effectLst/>
                  </pic:spPr>
                </pic:pic>
              </a:graphicData>
            </a:graphic>
          </wp:inline>
        </w:drawing>
      </w: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spacing w:line="240" w:lineRule="auto"/>
        <w:rPr>
          <w:rStyle w:val="dn"/>
          <w:rFonts w:eastAsia="Times New Roman" w:cs="Times New Roman"/>
          <w:szCs w:val="24"/>
        </w:rPr>
      </w:pPr>
    </w:p>
    <w:p w:rsidR="009B70FF" w:rsidRDefault="009B70FF" w:rsidP="009B70FF">
      <w:pPr>
        <w:widowControl w:val="0"/>
        <w:tabs>
          <w:tab w:val="left" w:pos="4395"/>
        </w:tabs>
        <w:spacing w:line="240" w:lineRule="auto"/>
        <w:rPr>
          <w:rStyle w:val="dn"/>
          <w:rFonts w:eastAsia="Times New Roman" w:cs="Times New Roman"/>
        </w:rPr>
      </w:pPr>
    </w:p>
    <w:p w:rsidR="009B70FF" w:rsidRDefault="009B70FF" w:rsidP="009B70FF">
      <w:pPr>
        <w:widowControl w:val="0"/>
        <w:tabs>
          <w:tab w:val="left" w:pos="4395"/>
        </w:tabs>
        <w:spacing w:line="240" w:lineRule="auto"/>
        <w:rPr>
          <w:rStyle w:val="dn"/>
          <w:rFonts w:eastAsia="Times New Roman" w:cs="Times New Roman"/>
        </w:rPr>
      </w:pPr>
    </w:p>
    <w:p w:rsidR="009B70FF" w:rsidRDefault="009B70FF" w:rsidP="009B70FF">
      <w:pPr>
        <w:widowControl w:val="0"/>
        <w:tabs>
          <w:tab w:val="left" w:pos="4395"/>
        </w:tabs>
        <w:spacing w:line="240" w:lineRule="auto"/>
        <w:rPr>
          <w:rStyle w:val="dn"/>
          <w:rFonts w:eastAsia="Times New Roman" w:cs="Times New Roman"/>
        </w:rPr>
      </w:pPr>
    </w:p>
    <w:p w:rsidR="009B70FF" w:rsidRDefault="009B70FF" w:rsidP="009B70FF">
      <w:pPr>
        <w:widowControl w:val="0"/>
        <w:tabs>
          <w:tab w:val="left" w:pos="4395"/>
        </w:tabs>
        <w:spacing w:line="240" w:lineRule="auto"/>
        <w:rPr>
          <w:rStyle w:val="dn"/>
          <w:rFonts w:eastAsia="Times New Roman" w:cs="Times New Roman"/>
        </w:rPr>
      </w:pPr>
    </w:p>
    <w:p w:rsidR="009B70FF" w:rsidRDefault="009B70FF" w:rsidP="009B70FF">
      <w:pPr>
        <w:widowControl w:val="0"/>
        <w:tabs>
          <w:tab w:val="left" w:pos="4395"/>
        </w:tabs>
        <w:spacing w:line="240" w:lineRule="auto"/>
        <w:rPr>
          <w:rStyle w:val="dn"/>
          <w:rFonts w:eastAsia="Times New Roman" w:cs="Times New Roman"/>
          <w:szCs w:val="24"/>
        </w:rPr>
      </w:pPr>
      <w:r>
        <w:rPr>
          <w:rStyle w:val="dn"/>
          <w:rFonts w:eastAsia="Times New Roman" w:cs="Times New Roman"/>
          <w:szCs w:val="24"/>
        </w:rPr>
        <w:tab/>
      </w:r>
    </w:p>
    <w:p w:rsidR="009B70FF" w:rsidRDefault="009B70FF" w:rsidP="009B70FF">
      <w:pPr>
        <w:pStyle w:val="Nadpis2"/>
        <w:rPr>
          <w:rStyle w:val="dn"/>
          <w:color w:val="000000"/>
          <w:sz w:val="24"/>
          <w:szCs w:val="24"/>
          <w:u w:color="000000"/>
        </w:rPr>
      </w:pPr>
      <w:bookmarkStart w:id="143" w:name="_Toc18276763"/>
      <w:bookmarkStart w:id="144" w:name="_Toc18313984"/>
      <w:bookmarkStart w:id="145" w:name="_Toc47"/>
      <w:r>
        <w:rPr>
          <w:rStyle w:val="dn"/>
          <w:color w:val="000000"/>
          <w:sz w:val="24"/>
          <w:szCs w:val="24"/>
          <w:u w:color="000000"/>
        </w:rPr>
        <w:t>Příloha č. 3- vzor exekučního návrhu</w:t>
      </w:r>
      <w:bookmarkEnd w:id="143"/>
      <w:bookmarkEnd w:id="144"/>
      <w:r>
        <w:rPr>
          <w:rStyle w:val="dn"/>
          <w:color w:val="000000"/>
          <w:sz w:val="24"/>
          <w:szCs w:val="24"/>
          <w:u w:color="000000"/>
        </w:rPr>
        <w:t xml:space="preserve"> </w:t>
      </w:r>
      <w:bookmarkEnd w:id="145"/>
    </w:p>
    <w:p w:rsidR="009B70FF" w:rsidRDefault="009B70FF" w:rsidP="009B70FF"/>
    <w:p w:rsidR="009B70FF" w:rsidRDefault="009B70FF" w:rsidP="009B70FF">
      <w:pPr>
        <w:widowControl w:val="0"/>
        <w:tabs>
          <w:tab w:val="left" w:pos="4395"/>
        </w:tabs>
        <w:spacing w:line="240" w:lineRule="auto"/>
        <w:rPr>
          <w:rStyle w:val="dn"/>
          <w:rFonts w:eastAsia="Times New Roman" w:cs="Times New Roman"/>
          <w:szCs w:val="24"/>
        </w:rPr>
      </w:pPr>
    </w:p>
    <w:p w:rsidR="009B70FF" w:rsidRDefault="009B70FF" w:rsidP="009B70FF">
      <w:pPr>
        <w:widowControl w:val="0"/>
        <w:tabs>
          <w:tab w:val="left" w:pos="4395"/>
        </w:tabs>
        <w:spacing w:line="240" w:lineRule="auto"/>
        <w:rPr>
          <w:rStyle w:val="dn"/>
          <w:rFonts w:eastAsia="Times New Roman" w:cs="Times New Roman"/>
          <w:szCs w:val="24"/>
        </w:rPr>
      </w:pP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sidR="005C706D">
        <w:rPr>
          <w:rStyle w:val="dn"/>
          <w:b/>
          <w:bCs/>
          <w:szCs w:val="24"/>
        </w:rPr>
        <w:t xml:space="preserve">Exekutorský úřad (dle volby </w:t>
      </w:r>
      <w:r>
        <w:rPr>
          <w:rStyle w:val="dn"/>
          <w:b/>
          <w:bCs/>
          <w:szCs w:val="24"/>
        </w:rPr>
        <w:t>oprávněn</w:t>
      </w:r>
      <w:r>
        <w:rPr>
          <w:rStyle w:val="dn"/>
          <w:b/>
          <w:bCs/>
          <w:szCs w:val="24"/>
          <w:lang w:val="fr-FR"/>
        </w:rPr>
        <w:t>é</w:t>
      </w:r>
      <w:r>
        <w:rPr>
          <w:rStyle w:val="dn"/>
          <w:b/>
          <w:bCs/>
          <w:szCs w:val="24"/>
        </w:rPr>
        <w:t>ho)</w:t>
      </w:r>
    </w:p>
    <w:p w:rsidR="009B70FF" w:rsidRDefault="009B70FF" w:rsidP="009B70FF">
      <w:pPr>
        <w:widowControl w:val="0"/>
        <w:tabs>
          <w:tab w:val="left" w:pos="4395"/>
        </w:tabs>
        <w:spacing w:line="240" w:lineRule="auto"/>
        <w:rPr>
          <w:rStyle w:val="dn"/>
          <w:rFonts w:eastAsia="Times New Roman" w:cs="Times New Roman"/>
          <w:szCs w:val="24"/>
        </w:rPr>
      </w:pP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t>(jm</w:t>
      </w:r>
      <w:r>
        <w:rPr>
          <w:rStyle w:val="dn"/>
          <w:szCs w:val="24"/>
          <w:lang w:val="fr-FR"/>
        </w:rPr>
        <w:t>é</w:t>
      </w:r>
      <w:r>
        <w:rPr>
          <w:rStyle w:val="dn"/>
          <w:szCs w:val="24"/>
          <w:lang w:val="it-IT"/>
        </w:rPr>
        <w:t>no a p</w:t>
      </w:r>
      <w:r>
        <w:rPr>
          <w:rStyle w:val="dn"/>
          <w:szCs w:val="24"/>
        </w:rPr>
        <w:t>říjmení soudního exekutora)</w:t>
      </w:r>
    </w:p>
    <w:p w:rsidR="009B70FF" w:rsidRDefault="009B70FF" w:rsidP="009B70FF">
      <w:pPr>
        <w:widowControl w:val="0"/>
        <w:tabs>
          <w:tab w:val="left" w:pos="4395"/>
        </w:tabs>
        <w:spacing w:line="240" w:lineRule="auto"/>
        <w:rPr>
          <w:rStyle w:val="dn"/>
          <w:rFonts w:eastAsia="Times New Roman" w:cs="Times New Roman"/>
          <w:szCs w:val="24"/>
        </w:rPr>
      </w:pP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t>adresa</w:t>
      </w:r>
      <w:r>
        <w:rPr>
          <w:rStyle w:val="dn"/>
          <w:rFonts w:eastAsia="Times New Roman" w:cs="Times New Roman"/>
          <w:szCs w:val="24"/>
        </w:rPr>
        <w:tab/>
      </w:r>
      <w:r>
        <w:rPr>
          <w:rStyle w:val="dn"/>
          <w:rFonts w:eastAsia="Times New Roman" w:cs="Times New Roman"/>
          <w:szCs w:val="24"/>
        </w:rPr>
        <w:tab/>
      </w:r>
    </w:p>
    <w:p w:rsidR="009B70FF" w:rsidRDefault="009B70FF" w:rsidP="009B70FF">
      <w:pPr>
        <w:widowControl w:val="0"/>
        <w:spacing w:line="240" w:lineRule="auto"/>
        <w:rPr>
          <w:rStyle w:val="dn"/>
          <w:rFonts w:eastAsia="Times New Roman" w:cs="Times New Roman"/>
          <w:szCs w:val="24"/>
        </w:rPr>
      </w:pPr>
    </w:p>
    <w:p w:rsidR="009B70FF" w:rsidRDefault="009B70FF" w:rsidP="009B70FF">
      <w:pPr>
        <w:widowControl w:val="0"/>
        <w:spacing w:line="240" w:lineRule="auto"/>
        <w:ind w:firstLine="4395"/>
        <w:rPr>
          <w:rStyle w:val="dn"/>
          <w:rFonts w:eastAsia="Times New Roman" w:cs="Times New Roman"/>
          <w:szCs w:val="24"/>
        </w:rPr>
      </w:pPr>
      <w:r>
        <w:rPr>
          <w:rStyle w:val="dn"/>
          <w:szCs w:val="24"/>
        </w:rPr>
        <w:t>V Praze, dne (DOPLNIT)</w:t>
      </w: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Cs w:val="24"/>
        </w:rPr>
      </w:pPr>
      <w:r>
        <w:rPr>
          <w:rStyle w:val="dn"/>
          <w:b/>
          <w:bCs/>
          <w:szCs w:val="24"/>
        </w:rPr>
        <w:t>Oprávněný:</w:t>
      </w:r>
      <w:r>
        <w:rPr>
          <w:rStyle w:val="dn"/>
          <w:szCs w:val="24"/>
        </w:rPr>
        <w:t xml:space="preserve"> (jm</w:t>
      </w:r>
      <w:r>
        <w:rPr>
          <w:rStyle w:val="dn"/>
          <w:szCs w:val="24"/>
          <w:lang w:val="fr-FR"/>
        </w:rPr>
        <w:t>é</w:t>
      </w:r>
      <w:r>
        <w:rPr>
          <w:rStyle w:val="dn"/>
          <w:szCs w:val="24"/>
          <w:lang w:val="it-IT"/>
        </w:rPr>
        <w:t>no, p</w:t>
      </w:r>
      <w:r>
        <w:rPr>
          <w:rStyle w:val="dn"/>
          <w:szCs w:val="24"/>
        </w:rPr>
        <w:t xml:space="preserve">říjmení adresa, RČ, firma, sídlo, IČO) </w:t>
      </w: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Cs w:val="24"/>
        </w:rPr>
      </w:pPr>
      <w:r>
        <w:rPr>
          <w:rStyle w:val="dn"/>
          <w:b/>
          <w:bCs/>
          <w:szCs w:val="24"/>
        </w:rPr>
        <w:t>Povinný:</w:t>
      </w:r>
      <w:r>
        <w:rPr>
          <w:rStyle w:val="dn"/>
          <w:szCs w:val="24"/>
        </w:rPr>
        <w:t xml:space="preserve"> (jm</w:t>
      </w:r>
      <w:r>
        <w:rPr>
          <w:rStyle w:val="dn"/>
          <w:szCs w:val="24"/>
          <w:lang w:val="fr-FR"/>
        </w:rPr>
        <w:t>é</w:t>
      </w:r>
      <w:r>
        <w:rPr>
          <w:rStyle w:val="dn"/>
          <w:szCs w:val="24"/>
          <w:lang w:val="it-IT"/>
        </w:rPr>
        <w:t>no, p</w:t>
      </w:r>
      <w:r>
        <w:rPr>
          <w:rStyle w:val="dn"/>
          <w:szCs w:val="24"/>
        </w:rPr>
        <w:t xml:space="preserve">říjmení adresa, RČ, firma, sídlo, IČO) </w:t>
      </w: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 w:val="20"/>
          <w:szCs w:val="20"/>
        </w:rPr>
      </w:pPr>
      <w:r>
        <w:rPr>
          <w:rStyle w:val="dn"/>
          <w:rFonts w:eastAsia="Times New Roman" w:cs="Times New Roman"/>
          <w:sz w:val="20"/>
          <w:szCs w:val="20"/>
        </w:rPr>
        <w:tab/>
      </w:r>
      <w:r>
        <w:rPr>
          <w:rStyle w:val="dn"/>
          <w:rFonts w:eastAsia="Times New Roman" w:cs="Times New Roman"/>
          <w:sz w:val="20"/>
          <w:szCs w:val="20"/>
        </w:rPr>
        <w:tab/>
      </w:r>
      <w:r>
        <w:rPr>
          <w:rStyle w:val="dn"/>
          <w:rFonts w:eastAsia="Times New Roman" w:cs="Times New Roman"/>
          <w:sz w:val="20"/>
          <w:szCs w:val="20"/>
        </w:rPr>
        <w:tab/>
      </w:r>
      <w:r>
        <w:rPr>
          <w:rStyle w:val="dn"/>
          <w:rFonts w:eastAsia="Times New Roman" w:cs="Times New Roman"/>
          <w:sz w:val="20"/>
          <w:szCs w:val="20"/>
        </w:rPr>
        <w:tab/>
      </w:r>
      <w:r>
        <w:rPr>
          <w:rStyle w:val="dn"/>
          <w:rFonts w:eastAsia="Times New Roman" w:cs="Times New Roman"/>
          <w:sz w:val="20"/>
          <w:szCs w:val="20"/>
        </w:rPr>
        <w:tab/>
      </w:r>
      <w:r>
        <w:rPr>
          <w:rStyle w:val="dn"/>
          <w:rFonts w:eastAsia="Times New Roman" w:cs="Times New Roman"/>
          <w:sz w:val="20"/>
          <w:szCs w:val="20"/>
        </w:rPr>
        <w:tab/>
      </w:r>
      <w:r>
        <w:rPr>
          <w:rStyle w:val="dn"/>
          <w:rFonts w:eastAsia="Times New Roman" w:cs="Times New Roman"/>
          <w:sz w:val="20"/>
          <w:szCs w:val="20"/>
        </w:rPr>
        <w:tab/>
      </w:r>
    </w:p>
    <w:p w:rsidR="009B70FF" w:rsidRDefault="009B70FF" w:rsidP="009B70FF">
      <w:pPr>
        <w:widowControl w:val="0"/>
        <w:spacing w:line="240" w:lineRule="auto"/>
        <w:ind w:left="4248" w:firstLine="147"/>
        <w:rPr>
          <w:rStyle w:val="dn"/>
          <w:rFonts w:eastAsia="Times New Roman" w:cs="Times New Roman"/>
          <w:b/>
          <w:bCs/>
          <w:szCs w:val="24"/>
          <w:u w:val="single"/>
        </w:rPr>
      </w:pPr>
      <w:r>
        <w:rPr>
          <w:rStyle w:val="dn"/>
          <w:b/>
          <w:bCs/>
          <w:szCs w:val="24"/>
          <w:u w:val="single"/>
        </w:rPr>
        <w:t xml:space="preserve">Exekuční návrh </w:t>
      </w:r>
    </w:p>
    <w:p w:rsidR="009B70FF" w:rsidRDefault="009B70FF" w:rsidP="009B70FF">
      <w:pPr>
        <w:widowControl w:val="0"/>
        <w:spacing w:line="240" w:lineRule="auto"/>
        <w:rPr>
          <w:rStyle w:val="dn"/>
          <w:rFonts w:eastAsia="Times New Roman" w:cs="Times New Roman"/>
          <w:sz w:val="20"/>
          <w:szCs w:val="20"/>
        </w:rPr>
      </w:pPr>
    </w:p>
    <w:p w:rsidR="009B70FF" w:rsidRDefault="009B70FF" w:rsidP="005C706D">
      <w:pPr>
        <w:widowControl w:val="0"/>
        <w:spacing w:line="240" w:lineRule="auto"/>
        <w:ind w:firstLine="0"/>
        <w:rPr>
          <w:rStyle w:val="dn"/>
          <w:rFonts w:eastAsia="Times New Roman" w:cs="Times New Roman"/>
          <w:sz w:val="20"/>
          <w:szCs w:val="20"/>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i/>
          <w:iCs/>
          <w:szCs w:val="24"/>
        </w:rPr>
      </w:pPr>
      <w:r>
        <w:rPr>
          <w:rStyle w:val="dn"/>
          <w:i/>
          <w:iCs/>
          <w:szCs w:val="24"/>
          <w:u w:val="single"/>
        </w:rPr>
        <w:t>Přílohy:</w:t>
      </w:r>
      <w:r>
        <w:rPr>
          <w:rStyle w:val="dn"/>
          <w:i/>
          <w:iCs/>
          <w:szCs w:val="24"/>
        </w:rPr>
        <w:t xml:space="preserve"> </w:t>
      </w:r>
    </w:p>
    <w:p w:rsidR="009B70FF" w:rsidRDefault="009B70FF" w:rsidP="007A2179">
      <w:pPr>
        <w:widowControl w:val="0"/>
        <w:numPr>
          <w:ilvl w:val="0"/>
          <w:numId w:val="29"/>
        </w:numPr>
        <w:pBdr>
          <w:top w:val="nil"/>
          <w:left w:val="nil"/>
          <w:bottom w:val="nil"/>
          <w:right w:val="nil"/>
          <w:between w:val="nil"/>
          <w:bar w:val="nil"/>
        </w:pBdr>
        <w:spacing w:before="0" w:line="240" w:lineRule="auto"/>
        <w:jc w:val="left"/>
        <w:rPr>
          <w:i/>
          <w:iCs/>
          <w:szCs w:val="24"/>
        </w:rPr>
      </w:pPr>
      <w:r>
        <w:rPr>
          <w:rStyle w:val="dn"/>
          <w:i/>
          <w:iCs/>
          <w:szCs w:val="24"/>
        </w:rPr>
        <w:t xml:space="preserve">stejnopis (originál) či opis (úředně ověřená </w:t>
      </w:r>
      <w:r>
        <w:rPr>
          <w:rStyle w:val="dn"/>
          <w:i/>
          <w:iCs/>
          <w:szCs w:val="24"/>
          <w:lang w:val="fr-FR"/>
        </w:rPr>
        <w:t>kopie) exeku</w:t>
      </w:r>
      <w:r>
        <w:rPr>
          <w:rStyle w:val="dn"/>
          <w:i/>
          <w:iCs/>
          <w:szCs w:val="24"/>
        </w:rPr>
        <w:t>čního titulu s vyznačenou  doložkou právní moci a vykonatelnosti</w:t>
      </w: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 w:val="20"/>
          <w:szCs w:val="20"/>
        </w:rPr>
      </w:pPr>
    </w:p>
    <w:p w:rsidR="005C706D" w:rsidRDefault="005C706D"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rPr>
          <w:rStyle w:val="dn"/>
          <w:rFonts w:eastAsia="Times New Roman" w:cs="Times New Roman"/>
          <w:sz w:val="20"/>
          <w:szCs w:val="20"/>
        </w:rPr>
      </w:pPr>
    </w:p>
    <w:p w:rsidR="009B70FF" w:rsidRDefault="009B70FF" w:rsidP="009B70FF">
      <w:pPr>
        <w:widowControl w:val="0"/>
        <w:spacing w:line="240" w:lineRule="auto"/>
        <w:jc w:val="center"/>
        <w:rPr>
          <w:rStyle w:val="dn"/>
          <w:rFonts w:eastAsia="Times New Roman" w:cs="Times New Roman"/>
          <w:b/>
          <w:bCs/>
          <w:szCs w:val="24"/>
        </w:rPr>
      </w:pPr>
      <w:r>
        <w:rPr>
          <w:rStyle w:val="dn"/>
          <w:b/>
          <w:bCs/>
          <w:szCs w:val="24"/>
        </w:rPr>
        <w:t>I.</w:t>
      </w:r>
    </w:p>
    <w:p w:rsidR="009B70FF" w:rsidRDefault="009B70FF" w:rsidP="009B70FF">
      <w:pPr>
        <w:widowControl w:val="0"/>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szCs w:val="24"/>
        </w:rPr>
      </w:pPr>
      <w:r>
        <w:rPr>
          <w:rStyle w:val="dn"/>
          <w:szCs w:val="24"/>
        </w:rPr>
        <w:t xml:space="preserve">Na základě </w:t>
      </w:r>
      <w:r>
        <w:rPr>
          <w:rStyle w:val="dn"/>
          <w:szCs w:val="24"/>
          <w:lang w:val="pt-PT"/>
        </w:rPr>
        <w:t>exeku</w:t>
      </w:r>
      <w:r>
        <w:rPr>
          <w:rStyle w:val="dn"/>
          <w:szCs w:val="24"/>
        </w:rPr>
        <w:t>čního titulu – (DOPLNIT) č.j. (DOPLNIT) vydan</w:t>
      </w:r>
      <w:r>
        <w:rPr>
          <w:rStyle w:val="dn"/>
          <w:szCs w:val="24"/>
          <w:lang w:val="fr-FR"/>
        </w:rPr>
        <w:t>é</w:t>
      </w:r>
      <w:r>
        <w:rPr>
          <w:rStyle w:val="dn"/>
          <w:szCs w:val="24"/>
        </w:rPr>
        <w:t>ho (DOPLNIT) dne (DOPLNIT), jenž nabyl právní moci dne (DOPLNIT) a je vykonatelný dne (DOPLNIT) (dále jen "</w:t>
      </w:r>
      <w:r>
        <w:rPr>
          <w:rStyle w:val="dn"/>
          <w:i/>
          <w:iCs/>
          <w:szCs w:val="24"/>
          <w:lang w:val="pt-PT"/>
        </w:rPr>
        <w:t>exeku</w:t>
      </w:r>
      <w:r>
        <w:rPr>
          <w:rStyle w:val="dn"/>
          <w:i/>
          <w:iCs/>
          <w:szCs w:val="24"/>
        </w:rPr>
        <w:t>ční titul</w:t>
      </w:r>
      <w:r>
        <w:rPr>
          <w:rStyle w:val="dn"/>
          <w:szCs w:val="24"/>
        </w:rPr>
        <w:t>"), byla povinn</w:t>
      </w:r>
      <w:r>
        <w:rPr>
          <w:rStyle w:val="dn"/>
          <w:szCs w:val="24"/>
          <w:lang w:val="fr-FR"/>
        </w:rPr>
        <w:t>é</w:t>
      </w:r>
      <w:r>
        <w:rPr>
          <w:rStyle w:val="dn"/>
          <w:szCs w:val="24"/>
        </w:rPr>
        <w:t xml:space="preserve">mu uložena povinnost spočívající v zaplacení pohledávky ve výši (DOPLNIT) Kč a jejího příslušenství </w:t>
      </w:r>
      <w:r>
        <w:rPr>
          <w:rStyle w:val="dn"/>
          <w:szCs w:val="24"/>
          <w:lang w:val="it-IT"/>
        </w:rPr>
        <w:t>opr</w:t>
      </w:r>
      <w:r>
        <w:rPr>
          <w:rStyle w:val="dn"/>
          <w:szCs w:val="24"/>
        </w:rPr>
        <w:t>ávněn</w:t>
      </w:r>
      <w:r>
        <w:rPr>
          <w:rStyle w:val="dn"/>
          <w:szCs w:val="24"/>
          <w:lang w:val="fr-FR"/>
        </w:rPr>
        <w:t>é</w:t>
      </w:r>
      <w:r>
        <w:rPr>
          <w:rStyle w:val="dn"/>
          <w:szCs w:val="24"/>
        </w:rPr>
        <w:t>mu.</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i/>
          <w:iCs/>
          <w:sz w:val="20"/>
          <w:szCs w:val="20"/>
        </w:rPr>
      </w:pPr>
      <w:r>
        <w:rPr>
          <w:rStyle w:val="dn"/>
          <w:i/>
          <w:iCs/>
          <w:szCs w:val="24"/>
        </w:rPr>
        <w:t xml:space="preserve">Důkaz: </w:t>
      </w:r>
    </w:p>
    <w:p w:rsidR="009B70FF" w:rsidRPr="005C706D" w:rsidRDefault="009B70FF" w:rsidP="005C706D">
      <w:pPr>
        <w:widowControl w:val="0"/>
        <w:numPr>
          <w:ilvl w:val="0"/>
          <w:numId w:val="29"/>
        </w:numPr>
        <w:pBdr>
          <w:top w:val="nil"/>
          <w:left w:val="nil"/>
          <w:bottom w:val="nil"/>
          <w:right w:val="nil"/>
          <w:between w:val="nil"/>
          <w:bar w:val="nil"/>
        </w:pBdr>
        <w:spacing w:before="0" w:line="240" w:lineRule="auto"/>
        <w:rPr>
          <w:rStyle w:val="dn"/>
          <w:i/>
          <w:iCs/>
          <w:szCs w:val="24"/>
        </w:rPr>
      </w:pPr>
      <w:r>
        <w:rPr>
          <w:rStyle w:val="dn"/>
          <w:i/>
          <w:iCs/>
          <w:szCs w:val="24"/>
        </w:rPr>
        <w:t xml:space="preserve">stejnopis (originál) či opis (úředně ověřená </w:t>
      </w:r>
      <w:r>
        <w:rPr>
          <w:rStyle w:val="dn"/>
          <w:i/>
          <w:iCs/>
          <w:szCs w:val="24"/>
          <w:lang w:val="fr-FR"/>
        </w:rPr>
        <w:t>kopie) exeku</w:t>
      </w:r>
      <w:r>
        <w:rPr>
          <w:rStyle w:val="dn"/>
          <w:i/>
          <w:iCs/>
          <w:szCs w:val="24"/>
        </w:rPr>
        <w:t>čního titulu s vyznačenou  doložkou právní moci a vykonatelnosti</w:t>
      </w:r>
    </w:p>
    <w:p w:rsidR="005C706D" w:rsidRDefault="005C706D"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jc w:val="center"/>
        <w:rPr>
          <w:rStyle w:val="dn"/>
          <w:b/>
          <w:bCs/>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jc w:val="center"/>
        <w:rPr>
          <w:rStyle w:val="dn"/>
          <w:rFonts w:eastAsia="Times New Roman" w:cs="Times New Roman"/>
          <w:b/>
          <w:bCs/>
          <w:szCs w:val="24"/>
        </w:rPr>
      </w:pPr>
      <w:r>
        <w:rPr>
          <w:rStyle w:val="dn"/>
          <w:b/>
          <w:bCs/>
          <w:szCs w:val="24"/>
        </w:rPr>
        <w:t>II.</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r>
        <w:rPr>
          <w:rStyle w:val="dn"/>
          <w:szCs w:val="24"/>
        </w:rPr>
        <w:t>Povinný do dne podání tohoto návrhu dle předmětn</w:t>
      </w:r>
      <w:r>
        <w:rPr>
          <w:rStyle w:val="dn"/>
          <w:szCs w:val="24"/>
          <w:lang w:val="fr-FR"/>
        </w:rPr>
        <w:t>é</w:t>
      </w:r>
      <w:r>
        <w:rPr>
          <w:rStyle w:val="dn"/>
          <w:szCs w:val="24"/>
        </w:rPr>
        <w:t>ho vykonateln</w:t>
      </w:r>
      <w:r>
        <w:rPr>
          <w:rStyle w:val="dn"/>
          <w:szCs w:val="24"/>
          <w:lang w:val="fr-FR"/>
        </w:rPr>
        <w:t>é</w:t>
      </w:r>
      <w:r>
        <w:rPr>
          <w:rStyle w:val="dn"/>
          <w:szCs w:val="24"/>
          <w:lang w:val="pt-PT"/>
        </w:rPr>
        <w:t>ho exeku</w:t>
      </w:r>
      <w:r>
        <w:rPr>
          <w:rStyle w:val="dn"/>
          <w:szCs w:val="24"/>
        </w:rPr>
        <w:t>čního titulu nesplnil ani část vymáhan</w:t>
      </w:r>
      <w:r>
        <w:rPr>
          <w:rStyle w:val="dn"/>
          <w:szCs w:val="24"/>
          <w:lang w:val="fr-FR"/>
        </w:rPr>
        <w:t xml:space="preserve">é </w:t>
      </w:r>
      <w:r>
        <w:rPr>
          <w:rStyle w:val="dn"/>
          <w:szCs w:val="24"/>
        </w:rPr>
        <w:t xml:space="preserve">povinnosti, a to přes i to, že byl k úhradě vyzván. </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i/>
          <w:iCs/>
          <w:sz w:val="20"/>
          <w:szCs w:val="20"/>
        </w:rPr>
      </w:pPr>
      <w:r>
        <w:rPr>
          <w:rStyle w:val="dn"/>
          <w:i/>
          <w:iCs/>
          <w:szCs w:val="24"/>
        </w:rPr>
        <w:t xml:space="preserve">Důkaz: </w:t>
      </w:r>
    </w:p>
    <w:p w:rsidR="009B70FF" w:rsidRPr="005C706D" w:rsidRDefault="009B70FF" w:rsidP="005C706D">
      <w:pPr>
        <w:widowControl w:val="0"/>
        <w:numPr>
          <w:ilvl w:val="0"/>
          <w:numId w:val="29"/>
        </w:numPr>
        <w:pBdr>
          <w:top w:val="nil"/>
          <w:left w:val="nil"/>
          <w:bottom w:val="nil"/>
          <w:right w:val="nil"/>
          <w:between w:val="nil"/>
          <w:bar w:val="nil"/>
        </w:pBdr>
        <w:spacing w:before="0" w:line="240" w:lineRule="auto"/>
        <w:rPr>
          <w:rStyle w:val="dn"/>
          <w:i/>
          <w:iCs/>
          <w:szCs w:val="24"/>
        </w:rPr>
      </w:pPr>
      <w:r>
        <w:rPr>
          <w:rStyle w:val="dn"/>
          <w:i/>
          <w:iCs/>
          <w:szCs w:val="24"/>
        </w:rPr>
        <w:t xml:space="preserve">výzva k plnění </w:t>
      </w:r>
    </w:p>
    <w:p w:rsidR="009B70FF" w:rsidRDefault="009B70FF" w:rsidP="005C706D">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ind w:firstLine="0"/>
        <w:rPr>
          <w:rStyle w:val="dn"/>
          <w:rFonts w:eastAsia="Times New Roman" w:cs="Times New Roman"/>
          <w:b/>
          <w:bCs/>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jc w:val="center"/>
        <w:rPr>
          <w:rStyle w:val="dn"/>
          <w:rFonts w:eastAsia="Times New Roman" w:cs="Times New Roman"/>
          <w:szCs w:val="24"/>
        </w:rPr>
      </w:pPr>
      <w:r>
        <w:rPr>
          <w:rStyle w:val="dn"/>
          <w:b/>
          <w:bCs/>
          <w:szCs w:val="24"/>
        </w:rPr>
        <w:t>III.</w:t>
      </w:r>
    </w:p>
    <w:p w:rsidR="009B70FF" w:rsidRDefault="009B70FF" w:rsidP="009B70FF">
      <w:pPr>
        <w:widowControl w:val="0"/>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szCs w:val="24"/>
        </w:rPr>
      </w:pPr>
      <w:r>
        <w:rPr>
          <w:rStyle w:val="dn"/>
          <w:szCs w:val="24"/>
        </w:rPr>
        <w:t>Oprávněný navrhuje, aby soud pověřil vedením exekuce k vymožení pohledávky a jejího příslušenství podle exekučního titulu soudní</w:t>
      </w:r>
      <w:r>
        <w:rPr>
          <w:rStyle w:val="dn"/>
          <w:szCs w:val="24"/>
          <w:lang w:val="pt-PT"/>
        </w:rPr>
        <w:t>ho exekutora (DOPLNIT), se s</w:t>
      </w:r>
      <w:r>
        <w:rPr>
          <w:rStyle w:val="dn"/>
          <w:szCs w:val="24"/>
        </w:rPr>
        <w:t>ídlem (DOPLNIT)</w:t>
      </w:r>
    </w:p>
    <w:p w:rsidR="009B70FF" w:rsidRDefault="009B70FF" w:rsidP="005C706D">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ind w:firstLine="0"/>
        <w:rPr>
          <w:rStyle w:val="dn"/>
          <w:rFonts w:eastAsia="Times New Roman" w:cs="Times New Roman"/>
          <w:b/>
          <w:bCs/>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jc w:val="center"/>
        <w:rPr>
          <w:rStyle w:val="dn"/>
          <w:rFonts w:eastAsia="Times New Roman" w:cs="Times New Roman"/>
          <w:b/>
          <w:bCs/>
          <w:szCs w:val="24"/>
        </w:rPr>
      </w:pPr>
      <w:r>
        <w:rPr>
          <w:rStyle w:val="dn"/>
          <w:b/>
          <w:bCs/>
          <w:szCs w:val="24"/>
        </w:rPr>
        <w:t>IV.</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r>
        <w:rPr>
          <w:rStyle w:val="dn"/>
          <w:szCs w:val="24"/>
        </w:rPr>
        <w:t>Oprávněný prohlašuje, že pro vymáhanou povinnost nebylo zahájeno jin</w:t>
      </w:r>
      <w:r>
        <w:rPr>
          <w:rStyle w:val="dn"/>
          <w:szCs w:val="24"/>
          <w:lang w:val="fr-FR"/>
        </w:rPr>
        <w:t xml:space="preserve">é </w:t>
      </w:r>
      <w:r>
        <w:rPr>
          <w:rStyle w:val="dn"/>
          <w:szCs w:val="24"/>
          <w:lang w:val="pt-PT"/>
        </w:rPr>
        <w:t>exeku</w:t>
      </w:r>
      <w:r>
        <w:rPr>
          <w:rStyle w:val="dn"/>
          <w:szCs w:val="24"/>
        </w:rPr>
        <w:t xml:space="preserve">ční řízení podle zákona 120/2001 Sb., o soudních exekutorech a exekuční činnosti (exekuční řád) a o změně </w:t>
      </w:r>
      <w:r>
        <w:rPr>
          <w:rStyle w:val="dn"/>
          <w:szCs w:val="24"/>
          <w:lang w:val="it-IT"/>
        </w:rPr>
        <w:t>dal</w:t>
      </w:r>
      <w:r>
        <w:rPr>
          <w:rStyle w:val="dn"/>
          <w:szCs w:val="24"/>
        </w:rPr>
        <w:t>ších zákonů.</w:t>
      </w:r>
    </w:p>
    <w:p w:rsidR="009B70FF" w:rsidRDefault="009B70FF" w:rsidP="009B70FF">
      <w:pPr>
        <w:widowControl w:val="0"/>
        <w:spacing w:line="240" w:lineRule="auto"/>
        <w:rPr>
          <w:rStyle w:val="dn"/>
          <w:rFonts w:eastAsia="Times New Roman" w:cs="Times New Roman"/>
          <w:szCs w:val="24"/>
        </w:rPr>
      </w:pPr>
    </w:p>
    <w:p w:rsidR="009B70FF" w:rsidRDefault="009B70FF" w:rsidP="009B70FF">
      <w:pPr>
        <w:widowControl w:val="0"/>
        <w:spacing w:line="240" w:lineRule="auto"/>
        <w:rPr>
          <w:rStyle w:val="dn"/>
          <w:rFonts w:eastAsia="Times New Roman" w:cs="Times New Roman"/>
          <w:sz w:val="20"/>
          <w:szCs w:val="20"/>
        </w:rPr>
      </w:pPr>
    </w:p>
    <w:p w:rsidR="005C706D" w:rsidRDefault="005C706D" w:rsidP="009B70FF">
      <w:pPr>
        <w:widowControl w:val="0"/>
        <w:spacing w:line="240" w:lineRule="auto"/>
        <w:rPr>
          <w:rStyle w:val="dn"/>
          <w:rFonts w:eastAsia="Times New Roman" w:cs="Times New Roman"/>
          <w:sz w:val="20"/>
          <w:szCs w:val="20"/>
        </w:rPr>
      </w:pPr>
    </w:p>
    <w:p w:rsidR="005C706D" w:rsidRDefault="005C706D" w:rsidP="009B70FF">
      <w:pPr>
        <w:widowControl w:val="0"/>
        <w:spacing w:line="240" w:lineRule="auto"/>
        <w:rPr>
          <w:rStyle w:val="dn"/>
          <w:rFonts w:eastAsia="Times New Roman" w:cs="Times New Roman"/>
          <w:sz w:val="20"/>
          <w:szCs w:val="20"/>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jc w:val="center"/>
        <w:rPr>
          <w:rStyle w:val="dn"/>
          <w:rFonts w:eastAsia="Times New Roman" w:cs="Times New Roman"/>
          <w:b/>
          <w:bCs/>
          <w:szCs w:val="24"/>
        </w:rPr>
      </w:pPr>
      <w:r>
        <w:rPr>
          <w:rStyle w:val="dn"/>
          <w:b/>
          <w:bCs/>
          <w:szCs w:val="24"/>
        </w:rPr>
        <w:t>V.</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r>
        <w:rPr>
          <w:rStyle w:val="dn"/>
          <w:szCs w:val="24"/>
        </w:rPr>
        <w:t xml:space="preserve">Na základě shora uvedených skutečností </w:t>
      </w:r>
      <w:r>
        <w:rPr>
          <w:rStyle w:val="dn"/>
          <w:szCs w:val="24"/>
          <w:lang w:val="it-IT"/>
        </w:rPr>
        <w:t>opr</w:t>
      </w:r>
      <w:r>
        <w:rPr>
          <w:rStyle w:val="dn"/>
          <w:szCs w:val="24"/>
        </w:rPr>
        <w:t>ávněný navrhuje, aby vě</w:t>
      </w:r>
      <w:r>
        <w:rPr>
          <w:rStyle w:val="dn"/>
          <w:szCs w:val="24"/>
          <w:lang w:val="it-IT"/>
        </w:rPr>
        <w:t>cn</w:t>
      </w:r>
      <w:r>
        <w:rPr>
          <w:rStyle w:val="dn"/>
          <w:szCs w:val="24"/>
        </w:rPr>
        <w:t>ě a místně soud vydal toto:</w:t>
      </w: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p>
    <w:p w:rsidR="009B70FF" w:rsidRDefault="009B70FF" w:rsidP="009B70FF">
      <w:pPr>
        <w:widowControl w:val="0"/>
        <w:spacing w:line="240" w:lineRule="auto"/>
        <w:ind w:left="284" w:right="284"/>
        <w:jc w:val="center"/>
        <w:rPr>
          <w:rStyle w:val="dn"/>
          <w:rFonts w:eastAsia="Times New Roman" w:cs="Times New Roman"/>
          <w:b/>
          <w:bCs/>
          <w:szCs w:val="24"/>
        </w:rPr>
      </w:pPr>
      <w:r>
        <w:rPr>
          <w:rStyle w:val="dn"/>
          <w:b/>
          <w:bCs/>
          <w:szCs w:val="24"/>
        </w:rPr>
        <w:t>pověření:</w:t>
      </w:r>
    </w:p>
    <w:p w:rsidR="009B70FF" w:rsidRDefault="009B70FF" w:rsidP="009B70FF">
      <w:pPr>
        <w:widowControl w:val="0"/>
        <w:spacing w:line="240" w:lineRule="auto"/>
        <w:ind w:left="284" w:right="284"/>
        <w:rPr>
          <w:rStyle w:val="dn"/>
          <w:rFonts w:eastAsia="Times New Roman" w:cs="Times New Roman"/>
          <w:b/>
          <w:bCs/>
          <w:szCs w:val="24"/>
        </w:rPr>
      </w:pPr>
    </w:p>
    <w:p w:rsidR="009B70FF" w:rsidRDefault="009B70FF" w:rsidP="007A2179">
      <w:pPr>
        <w:widowControl w:val="0"/>
        <w:numPr>
          <w:ilvl w:val="0"/>
          <w:numId w:val="31"/>
        </w:numPr>
        <w:pBdr>
          <w:top w:val="nil"/>
          <w:left w:val="nil"/>
          <w:bottom w:val="nil"/>
          <w:right w:val="nil"/>
          <w:between w:val="nil"/>
          <w:bar w:val="nil"/>
        </w:pBdr>
        <w:spacing w:before="0" w:line="240" w:lineRule="auto"/>
        <w:rPr>
          <w:b/>
          <w:bCs/>
          <w:szCs w:val="24"/>
        </w:rPr>
      </w:pPr>
      <w:r>
        <w:rPr>
          <w:b/>
          <w:bCs/>
          <w:szCs w:val="24"/>
        </w:rPr>
        <w:t>Soud n a ř i z u j e podle vykonateln</w:t>
      </w:r>
      <w:r>
        <w:rPr>
          <w:b/>
          <w:bCs/>
          <w:szCs w:val="24"/>
          <w:lang w:val="fr-FR"/>
        </w:rPr>
        <w:t>é</w:t>
      </w:r>
      <w:r>
        <w:rPr>
          <w:b/>
          <w:bCs/>
          <w:szCs w:val="24"/>
        </w:rPr>
        <w:t>ho rozhodnutí (DOPLNIT) ze dne (DOPLNIT), kter</w:t>
      </w:r>
      <w:r>
        <w:rPr>
          <w:b/>
          <w:bCs/>
          <w:szCs w:val="24"/>
          <w:lang w:val="fr-FR"/>
        </w:rPr>
        <w:t xml:space="preserve">é </w:t>
      </w:r>
      <w:r>
        <w:rPr>
          <w:b/>
          <w:bCs/>
          <w:szCs w:val="24"/>
        </w:rPr>
        <w:t>nabylo právní moci dne (DOPLNIT), k vymožení pohledávky oprávněn</w:t>
      </w:r>
      <w:r>
        <w:rPr>
          <w:b/>
          <w:bCs/>
          <w:szCs w:val="24"/>
          <w:lang w:val="fr-FR"/>
        </w:rPr>
        <w:t>é</w:t>
      </w:r>
      <w:r>
        <w:rPr>
          <w:b/>
          <w:bCs/>
          <w:szCs w:val="24"/>
        </w:rPr>
        <w:t>ho v částce (DOPLNIT) Kč spolu s úrokem z prodlení ve výš</w:t>
      </w:r>
      <w:r>
        <w:rPr>
          <w:b/>
          <w:bCs/>
          <w:szCs w:val="24"/>
          <w:lang w:val="fr-FR"/>
        </w:rPr>
        <w:t>i 8,05 % ro</w:t>
      </w:r>
      <w:r>
        <w:rPr>
          <w:b/>
          <w:bCs/>
          <w:szCs w:val="24"/>
        </w:rPr>
        <w:t>čně z částky (DOPLNIT) od (DOPLNIT) do zaplacení a nákladů řízení v částce (DOPLNIT), nákladů právního zastoupení v </w:t>
      </w:r>
      <w:r>
        <w:rPr>
          <w:b/>
          <w:bCs/>
          <w:szCs w:val="24"/>
          <w:lang w:val="pt-PT"/>
        </w:rPr>
        <w:t>exeku</w:t>
      </w:r>
      <w:r>
        <w:rPr>
          <w:b/>
          <w:bCs/>
          <w:szCs w:val="24"/>
        </w:rPr>
        <w:t>čním řízení a nákladů exekuce, kter</w:t>
      </w:r>
      <w:r>
        <w:rPr>
          <w:b/>
          <w:bCs/>
          <w:szCs w:val="24"/>
          <w:lang w:val="fr-FR"/>
        </w:rPr>
        <w:t xml:space="preserve">é </w:t>
      </w:r>
      <w:r>
        <w:rPr>
          <w:b/>
          <w:bCs/>
          <w:szCs w:val="24"/>
        </w:rPr>
        <w:t>budou určeny, exekucí na majetek povinn</w:t>
      </w:r>
      <w:r>
        <w:rPr>
          <w:b/>
          <w:bCs/>
          <w:szCs w:val="24"/>
          <w:lang w:val="fr-FR"/>
        </w:rPr>
        <w:t>é</w:t>
      </w:r>
      <w:r>
        <w:rPr>
          <w:b/>
          <w:bCs/>
          <w:szCs w:val="24"/>
          <w:lang w:val="it-IT"/>
        </w:rPr>
        <w:t>ho.</w:t>
      </w:r>
    </w:p>
    <w:p w:rsidR="009B70FF" w:rsidRDefault="009B70FF" w:rsidP="009B70FF">
      <w:pPr>
        <w:widowControl w:val="0"/>
        <w:spacing w:line="240" w:lineRule="auto"/>
        <w:ind w:left="720"/>
        <w:rPr>
          <w:rStyle w:val="dn"/>
          <w:rFonts w:eastAsia="Times New Roman" w:cs="Times New Roman"/>
          <w:b/>
          <w:bCs/>
          <w:szCs w:val="24"/>
        </w:rPr>
      </w:pPr>
    </w:p>
    <w:p w:rsidR="009B70FF" w:rsidRDefault="009B70FF" w:rsidP="007A2179">
      <w:pPr>
        <w:widowControl w:val="0"/>
        <w:numPr>
          <w:ilvl w:val="0"/>
          <w:numId w:val="31"/>
        </w:numPr>
        <w:pBdr>
          <w:top w:val="nil"/>
          <w:left w:val="nil"/>
          <w:bottom w:val="nil"/>
          <w:right w:val="nil"/>
          <w:between w:val="nil"/>
          <w:bar w:val="nil"/>
        </w:pBdr>
        <w:spacing w:before="0" w:line="240" w:lineRule="auto"/>
        <w:rPr>
          <w:b/>
          <w:bCs/>
          <w:szCs w:val="24"/>
        </w:rPr>
      </w:pPr>
      <w:r>
        <w:rPr>
          <w:b/>
          <w:bCs/>
          <w:szCs w:val="24"/>
        </w:rPr>
        <w:t>Provedením exekuce v souladu se zákonem č</w:t>
      </w:r>
      <w:r>
        <w:rPr>
          <w:b/>
          <w:bCs/>
          <w:szCs w:val="24"/>
          <w:lang w:val="pt-PT"/>
        </w:rPr>
        <w:t>. 120/2001 Sb., exeku</w:t>
      </w:r>
      <w:r>
        <w:rPr>
          <w:b/>
          <w:bCs/>
          <w:szCs w:val="24"/>
        </w:rPr>
        <w:t>ční řád, soud pověřuje (DOPLNIT) soudního exekutora Exekutorsk</w:t>
      </w:r>
      <w:r>
        <w:rPr>
          <w:b/>
          <w:bCs/>
          <w:szCs w:val="24"/>
          <w:lang w:val="fr-FR"/>
        </w:rPr>
        <w:t>é</w:t>
      </w:r>
      <w:r>
        <w:rPr>
          <w:b/>
          <w:bCs/>
          <w:szCs w:val="24"/>
        </w:rPr>
        <w:t>ho úřadu (DOPLNIT).</w:t>
      </w:r>
    </w:p>
    <w:p w:rsidR="009B70FF" w:rsidRDefault="009B70FF" w:rsidP="009B70FF">
      <w:pPr>
        <w:widowControl w:val="0"/>
        <w:spacing w:line="240" w:lineRule="auto"/>
        <w:ind w:left="720"/>
        <w:rPr>
          <w:rStyle w:val="dn"/>
          <w:rFonts w:eastAsia="Times New Roman" w:cs="Times New Roman"/>
          <w:b/>
          <w:bCs/>
          <w:szCs w:val="24"/>
        </w:rPr>
      </w:pPr>
    </w:p>
    <w:p w:rsidR="009B70FF" w:rsidRDefault="009B70FF" w:rsidP="009B70FF">
      <w:pPr>
        <w:widowControl w:val="0"/>
        <w:spacing w:line="240" w:lineRule="auto"/>
        <w:ind w:left="360" w:right="284"/>
        <w:rPr>
          <w:rStyle w:val="dn"/>
          <w:rFonts w:eastAsia="Times New Roman" w:cs="Times New Roman"/>
          <w:szCs w:val="24"/>
        </w:rPr>
      </w:pPr>
    </w:p>
    <w:p w:rsidR="009B70FF" w:rsidRDefault="009B70FF" w:rsidP="009B70FF">
      <w:pPr>
        <w:widowControl w:val="0"/>
        <w:spacing w:line="240" w:lineRule="auto"/>
        <w:ind w:left="360" w:right="284"/>
        <w:rPr>
          <w:rStyle w:val="dn"/>
          <w:rFonts w:eastAsia="Times New Roman" w:cs="Times New Roman"/>
          <w:sz w:val="20"/>
          <w:szCs w:val="20"/>
        </w:rPr>
      </w:pPr>
    </w:p>
    <w:p w:rsidR="009B70FF" w:rsidRDefault="009B70FF" w:rsidP="009B70FF">
      <w:pPr>
        <w:widowControl w:val="0"/>
        <w:tabs>
          <w:tab w:val="left" w:pos="720"/>
          <w:tab w:val="left" w:pos="1584"/>
          <w:tab w:val="left" w:pos="2448"/>
          <w:tab w:val="left" w:pos="3312"/>
          <w:tab w:val="left" w:pos="4176"/>
          <w:tab w:val="left" w:pos="5040"/>
          <w:tab w:val="left" w:pos="5904"/>
          <w:tab w:val="left" w:pos="6768"/>
          <w:tab w:val="left" w:pos="7632"/>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 w:val="left" w:pos="7714"/>
        </w:tabs>
        <w:spacing w:line="240" w:lineRule="auto"/>
        <w:rPr>
          <w:rStyle w:val="dn"/>
          <w:rFonts w:eastAsia="Times New Roman" w:cs="Times New Roman"/>
          <w:szCs w:val="24"/>
        </w:rPr>
      </w:pPr>
      <w:r>
        <w:rPr>
          <w:rStyle w:val="dn"/>
          <w:rFonts w:eastAsia="Times New Roman" w:cs="Times New Roman"/>
          <w:szCs w:val="24"/>
          <w:lang w:val="en-US"/>
        </w:rPr>
        <w:tab/>
      </w:r>
      <w:r>
        <w:rPr>
          <w:rStyle w:val="dn"/>
          <w:rFonts w:eastAsia="Times New Roman" w:cs="Times New Roman"/>
          <w:szCs w:val="24"/>
          <w:lang w:val="en-US"/>
        </w:rPr>
        <w:tab/>
      </w:r>
      <w:r>
        <w:rPr>
          <w:rStyle w:val="dn"/>
          <w:rFonts w:eastAsia="Times New Roman" w:cs="Times New Roman"/>
          <w:szCs w:val="24"/>
          <w:lang w:val="en-US"/>
        </w:rPr>
        <w:tab/>
      </w:r>
      <w:r>
        <w:rPr>
          <w:rStyle w:val="dn"/>
          <w:rFonts w:eastAsia="Times New Roman" w:cs="Times New Roman"/>
          <w:szCs w:val="24"/>
          <w:lang w:val="en-US"/>
        </w:rPr>
        <w:tab/>
      </w:r>
      <w:r>
        <w:rPr>
          <w:rStyle w:val="dn"/>
          <w:rFonts w:eastAsia="Times New Roman" w:cs="Times New Roman"/>
          <w:szCs w:val="24"/>
          <w:lang w:val="en-US"/>
        </w:rPr>
        <w:tab/>
      </w:r>
      <w:r>
        <w:rPr>
          <w:rStyle w:val="dn"/>
          <w:rFonts w:eastAsia="Times New Roman" w:cs="Times New Roman"/>
          <w:szCs w:val="24"/>
          <w:lang w:val="en-US"/>
        </w:rPr>
        <w:tab/>
      </w:r>
      <w:r>
        <w:rPr>
          <w:rStyle w:val="dn"/>
          <w:rFonts w:eastAsia="Times New Roman" w:cs="Times New Roman"/>
          <w:szCs w:val="24"/>
          <w:lang w:val="en-US"/>
        </w:rPr>
        <w:tab/>
        <w:t xml:space="preserve">_____________________ </w:t>
      </w:r>
    </w:p>
    <w:p w:rsidR="009B70FF" w:rsidRDefault="009B70FF" w:rsidP="009B70FF">
      <w:pPr>
        <w:widowControl w:val="0"/>
        <w:spacing w:line="240" w:lineRule="auto"/>
      </w:pP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r>
      <w:r>
        <w:rPr>
          <w:rStyle w:val="dn"/>
          <w:rFonts w:eastAsia="Times New Roman" w:cs="Times New Roman"/>
          <w:szCs w:val="24"/>
        </w:rPr>
        <w:tab/>
        <w:t xml:space="preserve">    navrhovatel (opr</w:t>
      </w:r>
      <w:r>
        <w:rPr>
          <w:rStyle w:val="dn"/>
          <w:szCs w:val="24"/>
        </w:rPr>
        <w:t xml:space="preserve">ávněný) </w:t>
      </w:r>
    </w:p>
    <w:p w:rsidR="000C7569" w:rsidRPr="000C7569" w:rsidRDefault="000C7569" w:rsidP="009B70FF">
      <w:pPr>
        <w:pStyle w:val="Nadpis1"/>
      </w:pPr>
    </w:p>
    <w:sectPr w:rsidR="000C7569" w:rsidRPr="000C7569">
      <w:headerReference w:type="default" r:id="rId22"/>
      <w:footerReference w:type="default" r:id="rId23"/>
      <w:headerReference w:type="first" r:id="rId24"/>
      <w:footerReference w:type="first" r:id="rId25"/>
      <w:pgSz w:w="11900" w:h="16840"/>
      <w:pgMar w:top="1134" w:right="1418" w:bottom="1134" w:left="226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061" w:rsidRDefault="00AE0061" w:rsidP="00EC7E8E">
      <w:pPr>
        <w:spacing w:before="0" w:line="240" w:lineRule="auto"/>
      </w:pPr>
      <w:r>
        <w:separator/>
      </w:r>
    </w:p>
  </w:endnote>
  <w:endnote w:type="continuationSeparator" w:id="0">
    <w:p w:rsidR="00AE0061" w:rsidRDefault="00AE0061" w:rsidP="00EC7E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Helvetica Neue">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0D" w:rsidRDefault="00D3290D" w:rsidP="00A53146">
    <w:pPr>
      <w:pStyle w:val="Zpat"/>
      <w:tabs>
        <w:tab w:val="center" w:pos="3968"/>
        <w:tab w:val="left" w:pos="5208"/>
      </w:tabs>
      <w:jc w:val="left"/>
    </w:pPr>
    <w:r>
      <w:tab/>
    </w:r>
  </w:p>
  <w:p w:rsidR="00D3290D" w:rsidRDefault="00D3290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157515"/>
      <w:docPartObj>
        <w:docPartGallery w:val="Page Numbers (Bottom of Page)"/>
        <w:docPartUnique/>
      </w:docPartObj>
    </w:sdtPr>
    <w:sdtEndPr/>
    <w:sdtContent>
      <w:p w:rsidR="001A622A" w:rsidRDefault="001A622A">
        <w:pPr>
          <w:pStyle w:val="Zpat"/>
          <w:jc w:val="center"/>
        </w:pPr>
        <w:r>
          <w:fldChar w:fldCharType="begin"/>
        </w:r>
        <w:r>
          <w:instrText>PAGE   \* MERGEFORMAT</w:instrText>
        </w:r>
        <w:r>
          <w:fldChar w:fldCharType="separate"/>
        </w:r>
        <w:r>
          <w:rPr>
            <w:noProof/>
          </w:rPr>
          <w:t>94</w:t>
        </w:r>
        <w:r>
          <w:fldChar w:fldCharType="end"/>
        </w:r>
      </w:p>
    </w:sdtContent>
  </w:sdt>
  <w:p w:rsidR="00D3290D" w:rsidRDefault="00D3290D">
    <w:pPr>
      <w:pStyle w:val="Zpat"/>
      <w:tabs>
        <w:tab w:val="clear" w:pos="9072"/>
        <w:tab w:val="right" w:pos="8194"/>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0D" w:rsidRDefault="00D3290D">
    <w:pPr>
      <w:pStyle w:val="Zhlava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061" w:rsidRDefault="00AE0061" w:rsidP="00EC7E8E">
      <w:pPr>
        <w:spacing w:before="0" w:line="240" w:lineRule="auto"/>
      </w:pPr>
      <w:r>
        <w:separator/>
      </w:r>
    </w:p>
  </w:footnote>
  <w:footnote w:type="continuationSeparator" w:id="0">
    <w:p w:rsidR="00AE0061" w:rsidRDefault="00AE0061" w:rsidP="00EC7E8E">
      <w:pPr>
        <w:spacing w:before="0" w:line="240" w:lineRule="auto"/>
      </w:pPr>
      <w:r>
        <w:continuationSeparator/>
      </w:r>
    </w:p>
  </w:footnote>
  <w:footnote w:id="1">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00633940" w:rsidRPr="00D16E75">
        <w:rPr>
          <w:rFonts w:cs="Times New Roman"/>
        </w:rPr>
        <w:t>WOLFOVÁ, Jitka a Martin ŠTIKA. Soudní exekuce. Praha: Wolters Kluwer, 2016, s.34, Právní monografie (Wolters Kluwer ČR). ISBN 978-80-7552-427-0.</w:t>
      </w:r>
    </w:p>
  </w:footnote>
  <w:footnote w:id="2">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lang w:val="it-IT"/>
        </w:rPr>
        <w:t>Pietro-de-treville.bloger.cz: K c</w:t>
      </w:r>
      <w:r w:rsidRPr="00D16E75">
        <w:rPr>
          <w:rFonts w:cs="Times New Roman"/>
        </w:rPr>
        <w:t>̌ertu s dluhy [online]. [cit. 2019-08-05]. Dostupn</w:t>
      </w:r>
      <w:r w:rsidRPr="00D16E75">
        <w:rPr>
          <w:rFonts w:cs="Times New Roman"/>
          <w:lang w:val="fr-FR"/>
        </w:rPr>
        <w:t xml:space="preserve">é z: http://pietro-de-treville.bloger.cz </w:t>
      </w:r>
    </w:p>
  </w:footnote>
  <w:footnote w:id="3">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I</w:t>
      </w:r>
      <w:r w:rsidRPr="00D16E75">
        <w:rPr>
          <w:rFonts w:cs="Times New Roman"/>
          <w:lang w:val="it-IT"/>
        </w:rPr>
        <w:t>uridictum: Encyklopedie o pr</w:t>
      </w:r>
      <w:r w:rsidRPr="00D16E75">
        <w:rPr>
          <w:rFonts w:cs="Times New Roman"/>
        </w:rPr>
        <w:t>á</w:t>
      </w:r>
      <w:r w:rsidRPr="00D16E75">
        <w:rPr>
          <w:rFonts w:cs="Times New Roman"/>
          <w:lang w:val="pt-PT"/>
        </w:rPr>
        <w:t>vu [online]. PECINA, Tom</w:t>
      </w:r>
      <w:r w:rsidRPr="00D16E75">
        <w:rPr>
          <w:rFonts w:cs="Times New Roman"/>
        </w:rPr>
        <w:t>áš</w:t>
      </w:r>
      <w:r w:rsidRPr="00D16E75">
        <w:rPr>
          <w:rFonts w:cs="Times New Roman"/>
          <w:lang w:val="pt-PT"/>
        </w:rPr>
        <w:t>. [cit. 201</w:t>
      </w:r>
      <w:r w:rsidRPr="00D16E75">
        <w:rPr>
          <w:rFonts w:cs="Times New Roman"/>
        </w:rPr>
        <w:t>9-08-06]. Dostupn</w:t>
      </w:r>
      <w:r w:rsidRPr="00D16E75">
        <w:rPr>
          <w:rFonts w:cs="Times New Roman"/>
          <w:lang w:val="fr-FR"/>
        </w:rPr>
        <w:t xml:space="preserve">é </w:t>
      </w:r>
      <w:r w:rsidRPr="00D16E75">
        <w:rPr>
          <w:rFonts w:cs="Times New Roman"/>
          <w:lang w:val="en-US"/>
        </w:rPr>
        <w:t xml:space="preserve">z: http://iuridictum.pecina.cz/w/Chammurabiho_z%C3%A1kon%C3%ADk </w:t>
      </w:r>
    </w:p>
  </w:footnote>
  <w:footnote w:id="4">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00633940" w:rsidRPr="00D16E75">
        <w:rPr>
          <w:rFonts w:cs="Times New Roman"/>
          <w:lang w:val="de-DE"/>
        </w:rPr>
        <w:t>SCHELLEOVÁ, Ilona. Exekuční řízení. Vyd. 1. Praha: Eurolex Bohemia, 2005, s. 13, ISBN 80-86861-46-5.</w:t>
      </w:r>
    </w:p>
  </w:footnote>
  <w:footnote w:id="5">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lang w:val="it-IT"/>
        </w:rPr>
        <w:t xml:space="preserve"> </w:t>
      </w:r>
      <w:r w:rsidR="00633940" w:rsidRPr="00D16E75">
        <w:rPr>
          <w:rFonts w:cs="Times New Roman"/>
          <w:lang w:val="it-IT"/>
        </w:rPr>
        <w:t>Prevzato: SKŘEJPEK, Michal. Texty ke studiu římského práva. Praha: Orac, 2001. s.33,Výběrové texty. ISBN 80-86199-32-0.</w:t>
      </w:r>
    </w:p>
  </w:footnote>
  <w:footnote w:id="6">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33940" w:rsidRPr="00D16E75">
        <w:rPr>
          <w:rFonts w:cs="Times New Roman"/>
        </w:rPr>
        <w:t>WOLFOVÁ, Jitka a Martin ŠTIKA. Soudní exekuce. Praha: Wolters Kluwer, 2016. s.34, Právní monografie (Wolters Kluwer ČR). ISBN 978-80-7552-427-0.</w:t>
      </w:r>
    </w:p>
  </w:footnote>
  <w:footnote w:id="7">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00633940" w:rsidRPr="00D16E75">
        <w:rPr>
          <w:rFonts w:cs="Times New Roman"/>
          <w:lang w:val="de-DE"/>
        </w:rPr>
        <w:t>SCHELLEOVÁ, Ilona. Exekuční řízení. Vyd. 1. Praha: Eurolex Bohemia, 2005, s. 14. ISBN 80- 86861-46-5.</w:t>
      </w:r>
    </w:p>
  </w:footnote>
  <w:footnote w:id="8">
    <w:p w:rsidR="00D3290D" w:rsidRPr="00D16E75" w:rsidRDefault="00D3290D" w:rsidP="00D16E75">
      <w:pPr>
        <w:pStyle w:val="Textpoznpodarou"/>
        <w:spacing w:line="240" w:lineRule="auto"/>
        <w:ind w:firstLine="0"/>
        <w:rPr>
          <w:rFonts w:cs="Times New Roman"/>
        </w:rPr>
      </w:pPr>
      <w:r w:rsidRPr="00D16E75">
        <w:rPr>
          <w:rFonts w:eastAsia="Times New Roman" w:cs="Times New Roman"/>
          <w:i/>
          <w:iCs/>
          <w:vertAlign w:val="superscript"/>
        </w:rPr>
        <w:footnoteRef/>
      </w:r>
      <w:r w:rsidRPr="00D16E75">
        <w:rPr>
          <w:rFonts w:cs="Times New Roman"/>
          <w:lang w:val="es-ES_tradnl"/>
        </w:rPr>
        <w:t>GAIUS. U</w:t>
      </w:r>
      <w:r w:rsidRPr="00D16E75">
        <w:rPr>
          <w:rFonts w:cs="Times New Roman"/>
        </w:rPr>
        <w:t>čebnice práva ve č</w:t>
      </w:r>
      <w:r w:rsidRPr="00D16E75">
        <w:rPr>
          <w:rFonts w:cs="Times New Roman"/>
          <w:lang w:val="en-US"/>
        </w:rPr>
        <w:t>ty</w:t>
      </w:r>
      <w:r w:rsidRPr="00D16E75">
        <w:rPr>
          <w:rFonts w:cs="Times New Roman"/>
        </w:rPr>
        <w:t>řech knihách. Přeložil Jaromír KINCL. Plzeň: Vydavatelství a nakladatelství Aleš Čeněk, 2007. ISBN 978-80-7380-054-3.</w:t>
      </w:r>
    </w:p>
  </w:footnote>
  <w:footnote w:id="9">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Pr="00D16E75">
        <w:rPr>
          <w:rFonts w:cs="Times New Roman"/>
          <w:lang w:val="de-DE"/>
        </w:rPr>
        <w:t>SCHELLEOV</w:t>
      </w:r>
      <w:r w:rsidRPr="00D16E75">
        <w:rPr>
          <w:rFonts w:cs="Times New Roman"/>
        </w:rPr>
        <w:t xml:space="preserve">Á, Ilona. Exekuční řízení. Vyd. 1. Praha: Eurolex Bohemia, 2005, s. 14. ISBN 80- 86861-46-5. </w:t>
      </w:r>
    </w:p>
  </w:footnote>
  <w:footnote w:id="10">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S</w:t>
      </w:r>
      <w:r w:rsidRPr="00D16E75">
        <w:rPr>
          <w:rFonts w:cs="Times New Roman"/>
          <w:lang w:val="de-DE"/>
        </w:rPr>
        <w:t>CHELLEOV</w:t>
      </w:r>
      <w:r w:rsidRPr="00D16E75">
        <w:rPr>
          <w:rFonts w:cs="Times New Roman"/>
        </w:rPr>
        <w:t>Á, Ilona. Exekuce. Vyd. 1. Ostrava: Key Publishing, 2008, s. 10. Prá</w:t>
      </w:r>
      <w:r w:rsidRPr="00D16E75">
        <w:rPr>
          <w:rFonts w:cs="Times New Roman"/>
          <w:lang w:val="en-US"/>
        </w:rPr>
        <w:t xml:space="preserve">vo (Key Publishing). ISBN 978-80-87071-91-5. </w:t>
      </w:r>
    </w:p>
  </w:footnote>
  <w:footnote w:id="11">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33940" w:rsidRPr="00D16E75">
        <w:rPr>
          <w:rFonts w:cs="Times New Roman"/>
        </w:rPr>
        <w:t>SCHELLEOVÁ, Ilona. Exekuce. Vyd. 1. Ostrava: Key Publishing, 2008, s. 10. Právo (Key Publishing). ISBN 978-80-87071-91-5.</w:t>
      </w:r>
    </w:p>
  </w:footnote>
  <w:footnote w:id="12">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33940" w:rsidRPr="00D16E75">
        <w:rPr>
          <w:rFonts w:cs="Times New Roman"/>
        </w:rPr>
        <w:t>SCHELLEOVÁ, Ilona. Exekuční řízení. Vyd. 1. Praha: Eurolex Bohemia, 2005, s. 17. ISBN 80- 86861-46-5.</w:t>
      </w:r>
    </w:p>
  </w:footnote>
  <w:footnote w:id="13">
    <w:p w:rsidR="00D3290D" w:rsidRPr="00D16E75" w:rsidRDefault="00D3290D" w:rsidP="00D16E75">
      <w:pPr>
        <w:pStyle w:val="Textpoznpodarou"/>
        <w:spacing w:line="240" w:lineRule="auto"/>
        <w:ind w:firstLine="0"/>
        <w:rPr>
          <w:rFonts w:cs="Times New Roman"/>
        </w:rPr>
      </w:pPr>
      <w:r w:rsidRPr="00D16E75">
        <w:rPr>
          <w:rStyle w:val="Znakapoznpodarou"/>
          <w:rFonts w:eastAsia="Times New Roman" w:cs="Times New Roman"/>
        </w:rPr>
        <w:footnoteRef/>
      </w:r>
      <w:r w:rsidRPr="00D16E75">
        <w:rPr>
          <w:rFonts w:cs="Times New Roman"/>
        </w:rPr>
        <w:t xml:space="preserve"> </w:t>
      </w:r>
      <w:r w:rsidR="00633940" w:rsidRPr="00D16E75">
        <w:rPr>
          <w:rFonts w:cs="Times New Roman"/>
        </w:rPr>
        <w:t>WOLFOVÁ, Jitka a Martin ŠTIKA. Soudní exekuce. Praha: Wolters Kluwer, 2016. s.36, Právní monografie (Wolters Kluwer ČR). ISBN 978-80-7552-427-0.</w:t>
      </w:r>
    </w:p>
  </w:footnote>
  <w:footnote w:id="14">
    <w:p w:rsidR="00D3290D" w:rsidRPr="00D16E75" w:rsidRDefault="00D3290D" w:rsidP="00D16E75">
      <w:pPr>
        <w:pStyle w:val="Textpoznpodarou"/>
        <w:spacing w:line="240" w:lineRule="auto"/>
        <w:ind w:firstLine="0"/>
        <w:rPr>
          <w:rFonts w:cs="Times New Roman"/>
        </w:rPr>
      </w:pPr>
      <w:r w:rsidRPr="00D16E75">
        <w:rPr>
          <w:rStyle w:val="Znakapoznpodarou"/>
          <w:rFonts w:eastAsia="Times New Roman" w:cs="Times New Roman"/>
        </w:rPr>
        <w:footnoteRef/>
      </w:r>
      <w:r w:rsidRPr="00D16E75">
        <w:rPr>
          <w:rFonts w:cs="Times New Roman"/>
        </w:rPr>
        <w:t xml:space="preserve"> </w:t>
      </w:r>
      <w:r w:rsidR="00633940" w:rsidRPr="00D16E75">
        <w:rPr>
          <w:rFonts w:cs="Times New Roman"/>
        </w:rPr>
        <w:t>WOLFOVÁ, Jitka a Martin ŠTIKA. Soudní exekuce. Praha: Wolters Kluwer, 2016. s 37, Právní monografie (Wolters Kluwer ČR). ISBN 978-80-7552-427-0.</w:t>
      </w:r>
    </w:p>
  </w:footnote>
  <w:footnote w:id="15">
    <w:p w:rsidR="00D3290D" w:rsidRPr="00D16E75" w:rsidRDefault="00D3290D" w:rsidP="00D16E75">
      <w:pPr>
        <w:pStyle w:val="Textpoznpodarou"/>
        <w:spacing w:line="240" w:lineRule="auto"/>
        <w:ind w:firstLine="0"/>
        <w:rPr>
          <w:rFonts w:cs="Times New Roman"/>
        </w:rPr>
      </w:pPr>
      <w:r w:rsidRPr="00D16E75">
        <w:rPr>
          <w:rStyle w:val="Znakapoznpodarou"/>
          <w:rFonts w:eastAsia="Times New Roman" w:cs="Times New Roman"/>
        </w:rPr>
        <w:footnoteRef/>
      </w:r>
      <w:r w:rsidRPr="00D16E75">
        <w:rPr>
          <w:rFonts w:cs="Times New Roman"/>
        </w:rPr>
        <w:t xml:space="preserve"> </w:t>
      </w:r>
      <w:r w:rsidR="00633940" w:rsidRPr="00D16E75">
        <w:rPr>
          <w:rFonts w:cs="Times New Roman"/>
        </w:rPr>
        <w:t>WOLFOVÁ, Jitka a Martin ŠTIKA. Soudní exekuce. Praha: Wolters Kluwer, 2016. s. 37, Právní monografie (Wolters Kluwer ČR). ISBN 978-80-7552-427-0.</w:t>
      </w:r>
    </w:p>
  </w:footnote>
  <w:footnote w:id="16">
    <w:p w:rsidR="00D3290D" w:rsidRPr="00D16E75" w:rsidRDefault="00D3290D" w:rsidP="00D16E75">
      <w:pPr>
        <w:pStyle w:val="Textpoznpodarou"/>
        <w:spacing w:line="240" w:lineRule="auto"/>
        <w:ind w:firstLine="0"/>
        <w:rPr>
          <w:rFonts w:cs="Times New Roman"/>
        </w:rPr>
      </w:pPr>
      <w:r w:rsidRPr="00D16E75">
        <w:rPr>
          <w:rStyle w:val="Znakapoznpodarou"/>
          <w:rFonts w:eastAsia="Times New Roman" w:cs="Times New Roman"/>
        </w:rPr>
        <w:footnoteRef/>
      </w:r>
      <w:r w:rsidRPr="00D16E75">
        <w:rPr>
          <w:rFonts w:cs="Times New Roman"/>
        </w:rPr>
        <w:t xml:space="preserve"> </w:t>
      </w:r>
      <w:r w:rsidR="006965B0" w:rsidRPr="00D16E75">
        <w:rPr>
          <w:rFonts w:cs="Times New Roman"/>
        </w:rPr>
        <w:t xml:space="preserve">WOLFOVÁ, Jitka a Martin ŠTIKA. Soudní exekuce. Praha: Wolters Kluwer, 2016. s. 37,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17">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 37-38,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18">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 38,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19">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 38,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20">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39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21">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lang w:val="de-DE"/>
        </w:rPr>
        <w:t>SCHELLEOV</w:t>
      </w:r>
      <w:r w:rsidR="006965B0" w:rsidRPr="00D16E75">
        <w:rPr>
          <w:rFonts w:cs="Times New Roman"/>
        </w:rPr>
        <w:t>Á, Ilona. Exekuční řízení. Vyd. 1. Praha: Eurolex Bohemia, 2005, s.19. ISBN 80-86861-46-5.</w:t>
      </w:r>
    </w:p>
  </w:footnote>
  <w:footnote w:id="22">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 40,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23">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lang w:val="de-DE"/>
        </w:rPr>
        <w:t>SCHELLEOV</w:t>
      </w:r>
      <w:r w:rsidR="006965B0" w:rsidRPr="00D16E75">
        <w:rPr>
          <w:rFonts w:cs="Times New Roman"/>
        </w:rPr>
        <w:t>Á, Ilona. Exekuce. Vyd. 1. Ostrava: Key Publishing, 2008, s. 12. Prá</w:t>
      </w:r>
      <w:r w:rsidR="006965B0" w:rsidRPr="00D16E75">
        <w:rPr>
          <w:rFonts w:cs="Times New Roman"/>
          <w:lang w:val="en-US"/>
        </w:rPr>
        <w:t>vo (Key Publishing). ISBN 978-80-87071-91-5.</w:t>
      </w:r>
    </w:p>
  </w:footnote>
  <w:footnote w:id="24">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s.44,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25">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 xml:space="preserve">WOLFOVÁ, Jitka a Martin ŠTIKA. Soudní exekuce. Praha: Wolters Kluwer, 2016. s.45, Právní </w:t>
      </w:r>
      <w:r w:rsidR="006965B0" w:rsidRPr="00D16E75">
        <w:rPr>
          <w:rFonts w:cs="Times New Roman"/>
          <w:lang w:val="de-DE"/>
        </w:rPr>
        <w:t xml:space="preserve">monografie (Wolters Kluwer </w:t>
      </w:r>
      <w:r w:rsidR="006965B0" w:rsidRPr="00D16E75">
        <w:rPr>
          <w:rFonts w:cs="Times New Roman"/>
        </w:rPr>
        <w:t>ČR). ISBN 978-80-7552-427-0.</w:t>
      </w:r>
    </w:p>
  </w:footnote>
  <w:footnote w:id="26">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lang w:val="da-DK"/>
        </w:rPr>
        <w:t xml:space="preserve"> </w:t>
      </w:r>
      <w:r w:rsidR="006965B0" w:rsidRPr="00D16E75">
        <w:rPr>
          <w:rFonts w:cs="Times New Roman"/>
          <w:lang w:val="da-DK"/>
        </w:rPr>
        <w:t>HLADK</w:t>
      </w:r>
      <w:r w:rsidR="006965B0" w:rsidRPr="00D16E75">
        <w:rPr>
          <w:rFonts w:cs="Times New Roman"/>
        </w:rPr>
        <w:t>Ý</w:t>
      </w:r>
      <w:r w:rsidR="006965B0" w:rsidRPr="00D16E75">
        <w:rPr>
          <w:rFonts w:cs="Times New Roman"/>
          <w:lang w:val="de-DE"/>
        </w:rPr>
        <w:t>, Jan a Petr HOLE</w:t>
      </w:r>
      <w:r w:rsidR="006965B0" w:rsidRPr="00D16E75">
        <w:rPr>
          <w:rFonts w:cs="Times New Roman"/>
        </w:rPr>
        <w:t>ŠÍNSKÝ. Soudní exekutoři a legislativn</w:t>
      </w:r>
      <w:r w:rsidR="006965B0" w:rsidRPr="00D16E75">
        <w:rPr>
          <w:rFonts w:cs="Times New Roman"/>
          <w:lang w:val="fr-FR"/>
        </w:rPr>
        <w:t xml:space="preserve">é </w:t>
      </w:r>
      <w:r w:rsidR="006965B0" w:rsidRPr="00D16E75">
        <w:rPr>
          <w:rFonts w:cs="Times New Roman"/>
        </w:rPr>
        <w:t>proces v Česk</w:t>
      </w:r>
      <w:r w:rsidR="006965B0" w:rsidRPr="00D16E75">
        <w:rPr>
          <w:rFonts w:cs="Times New Roman"/>
          <w:lang w:val="fr-FR"/>
        </w:rPr>
        <w:t xml:space="preserve">é </w:t>
      </w:r>
      <w:r w:rsidR="006965B0" w:rsidRPr="00D16E75">
        <w:rPr>
          <w:rFonts w:cs="Times New Roman"/>
          <w:lang w:val="pt-PT"/>
        </w:rPr>
        <w:t>republice [online]. 27. 7. 2001 [cit. 2019-08-20]. Dostupn</w:t>
      </w:r>
      <w:r w:rsidR="006965B0" w:rsidRPr="00D16E75">
        <w:rPr>
          <w:rFonts w:cs="Times New Roman"/>
          <w:lang w:val="fr-FR"/>
        </w:rPr>
        <w:t xml:space="preserve">é </w:t>
      </w:r>
      <w:r w:rsidR="006965B0" w:rsidRPr="00D16E75">
        <w:rPr>
          <w:rFonts w:cs="Times New Roman"/>
        </w:rPr>
        <w:t>z: https://www.epravo.cz/top/clanky/soudni-exekutori-a-legislativni-proces-v-ceske-republice-10951.html</w:t>
      </w:r>
    </w:p>
  </w:footnote>
  <w:footnote w:id="27">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Tamtéž</w:t>
      </w:r>
    </w:p>
  </w:footnote>
  <w:footnote w:id="28">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lang w:val="da-DK"/>
        </w:rPr>
        <w:t>HLADK</w:t>
      </w:r>
      <w:r w:rsidR="006965B0" w:rsidRPr="00D16E75">
        <w:rPr>
          <w:rFonts w:cs="Times New Roman"/>
        </w:rPr>
        <w:t>Ý</w:t>
      </w:r>
      <w:r w:rsidR="006965B0" w:rsidRPr="00D16E75">
        <w:rPr>
          <w:rFonts w:cs="Times New Roman"/>
          <w:lang w:val="de-DE"/>
        </w:rPr>
        <w:t>, Jan a Petr HOLE</w:t>
      </w:r>
      <w:r w:rsidR="006965B0" w:rsidRPr="00D16E75">
        <w:rPr>
          <w:rFonts w:cs="Times New Roman"/>
        </w:rPr>
        <w:t>ŠÍNSKÝ. Soudní exekutoři a legislativn</w:t>
      </w:r>
      <w:r w:rsidR="006965B0" w:rsidRPr="00D16E75">
        <w:rPr>
          <w:rFonts w:cs="Times New Roman"/>
          <w:lang w:val="fr-FR"/>
        </w:rPr>
        <w:t xml:space="preserve">é </w:t>
      </w:r>
      <w:r w:rsidR="006965B0" w:rsidRPr="00D16E75">
        <w:rPr>
          <w:rFonts w:cs="Times New Roman"/>
        </w:rPr>
        <w:t>proces v Česk</w:t>
      </w:r>
      <w:r w:rsidR="006965B0" w:rsidRPr="00D16E75">
        <w:rPr>
          <w:rFonts w:cs="Times New Roman"/>
          <w:lang w:val="fr-FR"/>
        </w:rPr>
        <w:t xml:space="preserve">é </w:t>
      </w:r>
      <w:r w:rsidR="006965B0" w:rsidRPr="00D16E75">
        <w:rPr>
          <w:rFonts w:cs="Times New Roman"/>
          <w:lang w:val="pt-PT"/>
        </w:rPr>
        <w:t>republice [online]. 27. 7. 2001 [cit. 2019-08-20]. Dostupn</w:t>
      </w:r>
      <w:r w:rsidR="006965B0" w:rsidRPr="00D16E75">
        <w:rPr>
          <w:rFonts w:cs="Times New Roman"/>
          <w:lang w:val="fr-FR"/>
        </w:rPr>
        <w:t xml:space="preserve">é </w:t>
      </w:r>
      <w:r w:rsidR="006965B0" w:rsidRPr="00D16E75">
        <w:rPr>
          <w:rFonts w:cs="Times New Roman"/>
        </w:rPr>
        <w:t>z: https://www.epravo.cz/top/clanky/soudni-exekutori-a-legislativni-proces-v-ceske-republice-10951.html</w:t>
      </w:r>
    </w:p>
  </w:footnote>
  <w:footnote w:id="29">
    <w:p w:rsidR="00D3290D" w:rsidRPr="00D16E75" w:rsidRDefault="00D3290D" w:rsidP="00D16E75">
      <w:pPr>
        <w:pStyle w:val="Textpoznpodarou"/>
        <w:spacing w:line="240" w:lineRule="auto"/>
        <w:ind w:left="709" w:hanging="709"/>
        <w:rPr>
          <w:rFonts w:cs="Times New Roman"/>
        </w:rPr>
      </w:pPr>
      <w:r w:rsidRPr="00D16E75">
        <w:rPr>
          <w:rFonts w:cs="Times New Roman"/>
          <w:vertAlign w:val="superscript"/>
        </w:rPr>
        <w:footnoteRef/>
      </w:r>
      <w:r w:rsidRPr="00D16E75">
        <w:rPr>
          <w:rFonts w:cs="Times New Roman"/>
          <w:lang w:val="da-DK"/>
        </w:rPr>
        <w:t xml:space="preserve"> </w:t>
      </w:r>
      <w:r w:rsidR="006965B0" w:rsidRPr="00D16E75">
        <w:rPr>
          <w:rFonts w:cs="Times New Roman"/>
          <w:lang w:val="da-DK"/>
        </w:rPr>
        <w:t>Tamtéž</w:t>
      </w:r>
    </w:p>
  </w:footnote>
  <w:footnote w:id="30">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lang w:val="da-DK"/>
        </w:rPr>
        <w:t xml:space="preserve"> </w:t>
      </w:r>
      <w:r w:rsidR="006965B0" w:rsidRPr="00D16E75">
        <w:rPr>
          <w:rFonts w:cs="Times New Roman"/>
          <w:lang w:val="da-DK"/>
        </w:rPr>
        <w:t>Tamtéž</w:t>
      </w:r>
    </w:p>
  </w:footnote>
  <w:footnote w:id="31">
    <w:p w:rsidR="006965B0" w:rsidRPr="00D16E75" w:rsidRDefault="006965B0"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lang w:val="en-US"/>
        </w:rPr>
        <w:t>WINTEROV</w:t>
      </w:r>
      <w:r w:rsidRPr="00D16E75">
        <w:rPr>
          <w:rFonts w:cs="Times New Roman"/>
        </w:rPr>
        <w:t>Á, Alena. Civilní právo procesní: vysokoškolská učebnice. 3. aktualiz. a dopl. vyd. Praha: Linde, 2004. s. 489, Vysokoškolsk</w:t>
      </w:r>
      <w:r w:rsidRPr="00D16E75">
        <w:rPr>
          <w:rFonts w:cs="Times New Roman"/>
          <w:lang w:val="fr-FR"/>
        </w:rPr>
        <w:t xml:space="preserve">é </w:t>
      </w:r>
      <w:r w:rsidRPr="00D16E75">
        <w:rPr>
          <w:rFonts w:cs="Times New Roman"/>
        </w:rPr>
        <w:t>právnick</w:t>
      </w:r>
      <w:r w:rsidRPr="00D16E75">
        <w:rPr>
          <w:rFonts w:cs="Times New Roman"/>
          <w:lang w:val="fr-FR"/>
        </w:rPr>
        <w:t xml:space="preserve">é </w:t>
      </w:r>
      <w:r w:rsidRPr="00D16E75">
        <w:rPr>
          <w:rFonts w:cs="Times New Roman"/>
        </w:rPr>
        <w:t>učebnice. ISBN 80-7201-464-1.</w:t>
      </w:r>
    </w:p>
  </w:footnote>
  <w:footnote w:id="32">
    <w:p w:rsidR="00D3290D" w:rsidRPr="00D16E75" w:rsidRDefault="00D3290D" w:rsidP="00D16E75">
      <w:pPr>
        <w:pStyle w:val="Textpoznpodarou"/>
        <w:spacing w:line="240" w:lineRule="auto"/>
        <w:ind w:firstLine="0"/>
        <w:rPr>
          <w:rFonts w:cs="Times New Roman"/>
        </w:rPr>
      </w:pPr>
      <w:r w:rsidRPr="00D16E75">
        <w:rPr>
          <w:rFonts w:cs="Times New Roman"/>
          <w:vertAlign w:val="superscript"/>
        </w:rPr>
        <w:footnoteRef/>
      </w:r>
      <w:r w:rsidRPr="00D16E75">
        <w:rPr>
          <w:rFonts w:cs="Times New Roman"/>
        </w:rPr>
        <w:t xml:space="preserve"> </w:t>
      </w:r>
      <w:r w:rsidR="006965B0" w:rsidRPr="00D16E75">
        <w:rPr>
          <w:rFonts w:cs="Times New Roman"/>
        </w:rPr>
        <w:t>Právní ú</w:t>
      </w:r>
      <w:r w:rsidR="006965B0" w:rsidRPr="00D16E75">
        <w:rPr>
          <w:rFonts w:cs="Times New Roman"/>
          <w:lang w:val="pt-PT"/>
        </w:rPr>
        <w:t>prava exeku</w:t>
      </w:r>
      <w:r w:rsidR="006965B0" w:rsidRPr="00D16E75">
        <w:rPr>
          <w:rFonts w:cs="Times New Roman"/>
        </w:rPr>
        <w:t xml:space="preserve">čního řízení </w:t>
      </w:r>
      <w:r w:rsidR="006965B0" w:rsidRPr="00D16E75">
        <w:rPr>
          <w:rFonts w:cs="Times New Roman"/>
          <w:lang w:val="pt-PT"/>
        </w:rPr>
        <w:t>a judikatura [online]. [cit. 2019-08-</w:t>
      </w:r>
      <w:r w:rsidR="006965B0" w:rsidRPr="00D16E75">
        <w:rPr>
          <w:rFonts w:cs="Times New Roman"/>
        </w:rPr>
        <w:t>25]. Dostupn</w:t>
      </w:r>
      <w:r w:rsidR="006965B0" w:rsidRPr="00D16E75">
        <w:rPr>
          <w:rFonts w:cs="Times New Roman"/>
          <w:lang w:val="fr-FR"/>
        </w:rPr>
        <w:t xml:space="preserve">é </w:t>
      </w:r>
      <w:r w:rsidR="006965B0" w:rsidRPr="00D16E75">
        <w:rPr>
          <w:rFonts w:cs="Times New Roman"/>
        </w:rPr>
        <w:t>z: https://exekuce.justice.cz/pravni-uprava-exekucniho-rizeni-a-judikatura/</w:t>
      </w:r>
    </w:p>
  </w:footnote>
  <w:footnote w:id="33">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lang w:val="de-DE"/>
        </w:rPr>
        <w:t xml:space="preserve"> </w:t>
      </w:r>
      <w:r w:rsidR="006965B0" w:rsidRPr="00D16E75">
        <w:rPr>
          <w:rFonts w:cs="Times New Roman"/>
        </w:rPr>
        <w:t>SKULOVÁ, Soňa. Správní právo procesní. 2., upr. vyd. Plzeň: Vydavatelství a nakladatelství Aleš Čeněk, 2012. s. 293, ISBN 978-80-7380-414-5.</w:t>
      </w:r>
    </w:p>
  </w:footnote>
  <w:footnote w:id="34">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lang w:val="it-IT"/>
        </w:rPr>
        <w:t>Metodick</w:t>
      </w:r>
      <w:r w:rsidR="006965B0" w:rsidRPr="00D16E75">
        <w:rPr>
          <w:rFonts w:cs="Times New Roman"/>
        </w:rPr>
        <w:t>á pomůcka odboru stavebního řádu Ministerstva pro místní rozvoj pro stavební úř</w:t>
      </w:r>
      <w:r w:rsidR="006965B0" w:rsidRPr="00D16E75">
        <w:rPr>
          <w:rFonts w:cs="Times New Roman"/>
          <w:lang w:val="en-US"/>
        </w:rPr>
        <w:t>ady: Exeku</w:t>
      </w:r>
      <w:r w:rsidR="006965B0" w:rsidRPr="00D16E75">
        <w:rPr>
          <w:rFonts w:cs="Times New Roman"/>
        </w:rPr>
        <w:t xml:space="preserve">ční řízení </w:t>
      </w:r>
      <w:r w:rsidR="006965B0" w:rsidRPr="00D16E75">
        <w:rPr>
          <w:rFonts w:cs="Times New Roman"/>
          <w:lang w:val="pt-PT"/>
        </w:rPr>
        <w:t>[online]. prosinec 2010 [cit. 2019-0</w:t>
      </w:r>
      <w:r w:rsidR="006965B0" w:rsidRPr="00D16E75">
        <w:rPr>
          <w:rFonts w:cs="Times New Roman"/>
        </w:rPr>
        <w:t>8-20]. Dostupn</w:t>
      </w:r>
      <w:r w:rsidR="006965B0" w:rsidRPr="00D16E75">
        <w:rPr>
          <w:rFonts w:cs="Times New Roman"/>
          <w:lang w:val="fr-FR"/>
        </w:rPr>
        <w:t xml:space="preserve">é </w:t>
      </w:r>
      <w:r w:rsidR="006965B0" w:rsidRPr="00D16E75">
        <w:rPr>
          <w:rFonts w:cs="Times New Roman"/>
        </w:rPr>
        <w:t>z: http://www.mmr.cz/getmedia/6be63d6f-968a-4440-91bd-caf5ee3e6d27/exekuce</w:t>
      </w:r>
    </w:p>
  </w:footnote>
  <w:footnote w:id="35">
    <w:p w:rsidR="006965B0" w:rsidRPr="00D16E75" w:rsidRDefault="006965B0"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7. Co je to exekuční titul [online]. [cit. 2019-08-20]. Dostupn</w:t>
      </w:r>
      <w:r w:rsidRPr="00D16E75">
        <w:rPr>
          <w:rFonts w:cs="Times New Roman"/>
          <w:lang w:val="fr-FR"/>
        </w:rPr>
        <w:t xml:space="preserve">é </w:t>
      </w:r>
      <w:r w:rsidRPr="00D16E75">
        <w:rPr>
          <w:rFonts w:cs="Times New Roman"/>
        </w:rPr>
        <w:t>z: https://www.ekcr.cz/1/exekutori-radi/797-7-co-je-to-exekucni-titul?w=</w:t>
      </w:r>
    </w:p>
  </w:footnote>
  <w:footnote w:id="36">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JUDr. Mgr. Luboš Jemelka, Mgr. Klá</w:t>
      </w:r>
      <w:r w:rsidR="006965B0" w:rsidRPr="00D16E75">
        <w:rPr>
          <w:rFonts w:cs="Times New Roman"/>
          <w:lang w:val="it-IT"/>
        </w:rPr>
        <w:t>ra Ponde</w:t>
      </w:r>
      <w:r w:rsidR="006965B0" w:rsidRPr="00D16E75">
        <w:rPr>
          <w:rFonts w:cs="Times New Roman"/>
        </w:rPr>
        <w:t xml:space="preserve">̌líčková, Mgr. Ing. David Bohadlo: Správní řád, 2. vydání. Praha: 2009, s.403-404 Nakladatelství </w:t>
      </w:r>
      <w:r w:rsidR="006965B0" w:rsidRPr="00D16E75">
        <w:rPr>
          <w:rFonts w:cs="Times New Roman"/>
          <w:lang w:val="it-IT"/>
        </w:rPr>
        <w:t>C. H. Beck</w:t>
      </w:r>
      <w:r w:rsidR="006965B0" w:rsidRPr="00D16E75">
        <w:rPr>
          <w:rFonts w:cs="Times New Roman"/>
        </w:rPr>
        <w:t>, ISBN 978-80-7400-157-4</w:t>
      </w:r>
    </w:p>
  </w:footnote>
  <w:footnote w:id="37">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JUDr. Mgr. Luboš Jemelka, Mgr. Klá</w:t>
      </w:r>
      <w:r w:rsidR="006965B0" w:rsidRPr="00D16E75">
        <w:rPr>
          <w:rFonts w:cs="Times New Roman"/>
          <w:lang w:val="it-IT"/>
        </w:rPr>
        <w:t>ra Ponde</w:t>
      </w:r>
      <w:r w:rsidR="006965B0" w:rsidRPr="00D16E75">
        <w:rPr>
          <w:rFonts w:cs="Times New Roman"/>
        </w:rPr>
        <w:t>̌líčková, Mgr. Ing. David Bohadlo: Správní řád, 2. vydání. Praha: 2009, s.403-404 Nakladatelství C. H. Beck, ISBN 978-80-7400-157-4</w:t>
      </w:r>
    </w:p>
  </w:footnote>
  <w:footnote w:id="38">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JUDr. Mgr. Luboš Jemelka, Mgr. Klá</w:t>
      </w:r>
      <w:r w:rsidR="006965B0" w:rsidRPr="00D16E75">
        <w:rPr>
          <w:rFonts w:cs="Times New Roman"/>
          <w:lang w:val="it-IT"/>
        </w:rPr>
        <w:t>ra Ponde</w:t>
      </w:r>
      <w:r w:rsidR="006965B0" w:rsidRPr="00D16E75">
        <w:rPr>
          <w:rFonts w:cs="Times New Roman"/>
        </w:rPr>
        <w:t>̌líčková, Mgr. Ing. David Bohadlo: Správní řád, 2. vydání. Praha: 2009, s.403-404 Nakladatelství C. H. Beck, ISBN 978-80-7400-157-4</w:t>
      </w:r>
    </w:p>
  </w:footnote>
  <w:footnote w:id="39">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ROZEHNAL, Tomáš. § </w:t>
      </w:r>
      <w:r w:rsidR="006965B0" w:rsidRPr="00D16E75">
        <w:rPr>
          <w:rFonts w:cs="Times New Roman"/>
          <w:lang w:val="nl-NL"/>
        </w:rPr>
        <w:t>176 []. In: LICHNOVSK</w:t>
      </w:r>
      <w:r w:rsidR="006965B0" w:rsidRPr="00D16E75">
        <w:rPr>
          <w:rFonts w:cs="Times New Roman"/>
        </w:rPr>
        <w:t>Ý</w:t>
      </w:r>
      <w:r w:rsidR="006965B0" w:rsidRPr="00D16E75">
        <w:rPr>
          <w:rFonts w:cs="Times New Roman"/>
          <w:lang w:val="nl-NL"/>
        </w:rPr>
        <w:t>, Ond</w:t>
      </w:r>
      <w:r w:rsidR="006965B0" w:rsidRPr="00D16E75">
        <w:rPr>
          <w:rFonts w:cs="Times New Roman"/>
        </w:rPr>
        <w:t>řej, ONDRÝ</w:t>
      </w:r>
      <w:r w:rsidR="006965B0" w:rsidRPr="00D16E75">
        <w:rPr>
          <w:rFonts w:cs="Times New Roman"/>
          <w:lang w:val="nl-NL"/>
        </w:rPr>
        <w:t>SEK, Roman, NOV</w:t>
      </w:r>
      <w:r w:rsidR="006965B0" w:rsidRPr="00D16E75">
        <w:rPr>
          <w:rFonts w:cs="Times New Roman"/>
        </w:rPr>
        <w:t>ÁKOVÁ</w:t>
      </w:r>
      <w:r w:rsidR="006965B0" w:rsidRPr="00D16E75">
        <w:rPr>
          <w:rFonts w:cs="Times New Roman"/>
          <w:lang w:val="de-DE"/>
        </w:rPr>
        <w:t>, Petra, KOSTOLANSK</w:t>
      </w:r>
      <w:r w:rsidR="006965B0" w:rsidRPr="00D16E75">
        <w:rPr>
          <w:rFonts w:cs="Times New Roman"/>
        </w:rPr>
        <w:t xml:space="preserve">Á, Eva, ROZEHNAL, Tomáš. Daňový řád. 3. vydání. Praha: Nakladatelství </w:t>
      </w:r>
      <w:r w:rsidR="006965B0" w:rsidRPr="00D16E75">
        <w:rPr>
          <w:rFonts w:cs="Times New Roman"/>
          <w:lang w:val="pt-PT"/>
        </w:rPr>
        <w:t>C. H. Beck, 2016, s. 636.</w:t>
      </w:r>
    </w:p>
  </w:footnote>
  <w:footnote w:id="40">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ROZEHNAL, Tomáš. § </w:t>
      </w:r>
      <w:r w:rsidR="006965B0" w:rsidRPr="00D16E75">
        <w:rPr>
          <w:rFonts w:cs="Times New Roman"/>
          <w:lang w:val="nl-NL"/>
        </w:rPr>
        <w:t>176 []. In: LICHNOVSK</w:t>
      </w:r>
      <w:r w:rsidR="006965B0" w:rsidRPr="00D16E75">
        <w:rPr>
          <w:rFonts w:cs="Times New Roman"/>
        </w:rPr>
        <w:t>Ý</w:t>
      </w:r>
      <w:r w:rsidR="006965B0" w:rsidRPr="00D16E75">
        <w:rPr>
          <w:rFonts w:cs="Times New Roman"/>
          <w:lang w:val="nl-NL"/>
        </w:rPr>
        <w:t>, Ond</w:t>
      </w:r>
      <w:r w:rsidR="006965B0" w:rsidRPr="00D16E75">
        <w:rPr>
          <w:rFonts w:cs="Times New Roman"/>
        </w:rPr>
        <w:t>řej, ONDRÝ</w:t>
      </w:r>
      <w:r w:rsidR="006965B0" w:rsidRPr="00D16E75">
        <w:rPr>
          <w:rFonts w:cs="Times New Roman"/>
          <w:lang w:val="nl-NL"/>
        </w:rPr>
        <w:t>SEK, Roman, NOV</w:t>
      </w:r>
      <w:r w:rsidR="006965B0" w:rsidRPr="00D16E75">
        <w:rPr>
          <w:rFonts w:cs="Times New Roman"/>
        </w:rPr>
        <w:t>ÁKOVÁ</w:t>
      </w:r>
      <w:r w:rsidR="006965B0" w:rsidRPr="00D16E75">
        <w:rPr>
          <w:rFonts w:cs="Times New Roman"/>
          <w:lang w:val="de-DE"/>
        </w:rPr>
        <w:t>, Petra, KOSTOLANSK</w:t>
      </w:r>
      <w:r w:rsidR="006965B0" w:rsidRPr="00D16E75">
        <w:rPr>
          <w:rFonts w:cs="Times New Roman"/>
        </w:rPr>
        <w:t xml:space="preserve">Á, Eva, ROZEHNAL, Tomáš. Daňový řád. 3. vydání. Praha: Nakladatelství </w:t>
      </w:r>
      <w:r w:rsidR="006965B0" w:rsidRPr="00D16E75">
        <w:rPr>
          <w:rFonts w:cs="Times New Roman"/>
          <w:lang w:val="pt-PT"/>
        </w:rPr>
        <w:t>C. H. Beck, 2016, s. 636.</w:t>
      </w:r>
    </w:p>
  </w:footnote>
  <w:footnote w:id="41">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Tamtéž</w:t>
      </w:r>
    </w:p>
  </w:footnote>
  <w:footnote w:id="42">
    <w:p w:rsidR="006965B0"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ROZEHNAL, Tomáš. § </w:t>
      </w:r>
      <w:r w:rsidR="006965B0" w:rsidRPr="00D16E75">
        <w:rPr>
          <w:rFonts w:cs="Times New Roman"/>
          <w:lang w:val="nl-NL"/>
        </w:rPr>
        <w:t>176 []. In: LICHNOVSK</w:t>
      </w:r>
      <w:r w:rsidR="006965B0" w:rsidRPr="00D16E75">
        <w:rPr>
          <w:rFonts w:cs="Times New Roman"/>
        </w:rPr>
        <w:t>Ý</w:t>
      </w:r>
      <w:r w:rsidR="006965B0" w:rsidRPr="00D16E75">
        <w:rPr>
          <w:rFonts w:cs="Times New Roman"/>
          <w:lang w:val="nl-NL"/>
        </w:rPr>
        <w:t>, Ond</w:t>
      </w:r>
      <w:r w:rsidR="006965B0" w:rsidRPr="00D16E75">
        <w:rPr>
          <w:rFonts w:cs="Times New Roman"/>
        </w:rPr>
        <w:t>řej, ONDRÝ</w:t>
      </w:r>
      <w:r w:rsidR="006965B0" w:rsidRPr="00D16E75">
        <w:rPr>
          <w:rFonts w:cs="Times New Roman"/>
          <w:lang w:val="nl-NL"/>
        </w:rPr>
        <w:t>SEK, Roman, NOV</w:t>
      </w:r>
      <w:r w:rsidR="006965B0" w:rsidRPr="00D16E75">
        <w:rPr>
          <w:rFonts w:cs="Times New Roman"/>
        </w:rPr>
        <w:t>ÁKOVÁ</w:t>
      </w:r>
      <w:r w:rsidR="006965B0" w:rsidRPr="00D16E75">
        <w:rPr>
          <w:rFonts w:cs="Times New Roman"/>
          <w:lang w:val="de-DE"/>
        </w:rPr>
        <w:t>, Petra, KOSTOLANSK</w:t>
      </w:r>
      <w:r w:rsidR="006965B0" w:rsidRPr="00D16E75">
        <w:rPr>
          <w:rFonts w:cs="Times New Roman"/>
        </w:rPr>
        <w:t xml:space="preserve">Á, Eva, ROZEHNAL, Tomáš. Daňový řád. 3. vydání. Praha: Nakladatelství </w:t>
      </w:r>
      <w:r w:rsidR="006965B0" w:rsidRPr="00D16E75">
        <w:rPr>
          <w:rFonts w:cs="Times New Roman"/>
          <w:lang w:val="pt-PT"/>
        </w:rPr>
        <w:t>C. H. Beck, 2016, s. 636.</w:t>
      </w:r>
    </w:p>
    <w:p w:rsidR="00D3290D" w:rsidRPr="00D16E75" w:rsidRDefault="00D3290D" w:rsidP="00D16E75">
      <w:pPr>
        <w:pStyle w:val="Textpoznpodarou"/>
        <w:spacing w:line="240" w:lineRule="auto"/>
        <w:ind w:firstLine="0"/>
        <w:rPr>
          <w:rFonts w:cs="Times New Roman"/>
        </w:rPr>
      </w:pPr>
    </w:p>
  </w:footnote>
  <w:footnote w:id="43">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ROZEHNAL, Tomáš. § </w:t>
      </w:r>
      <w:r w:rsidR="006965B0" w:rsidRPr="00D16E75">
        <w:rPr>
          <w:rFonts w:cs="Times New Roman"/>
          <w:lang w:val="nl-NL"/>
        </w:rPr>
        <w:t>176 []. In: LICHNOVSK</w:t>
      </w:r>
      <w:r w:rsidR="006965B0" w:rsidRPr="00D16E75">
        <w:rPr>
          <w:rFonts w:cs="Times New Roman"/>
        </w:rPr>
        <w:t>Ý</w:t>
      </w:r>
      <w:r w:rsidR="006965B0" w:rsidRPr="00D16E75">
        <w:rPr>
          <w:rFonts w:cs="Times New Roman"/>
          <w:lang w:val="nl-NL"/>
        </w:rPr>
        <w:t>, Ond</w:t>
      </w:r>
      <w:r w:rsidR="006965B0" w:rsidRPr="00D16E75">
        <w:rPr>
          <w:rFonts w:cs="Times New Roman"/>
        </w:rPr>
        <w:t>řej, ONDRÝ</w:t>
      </w:r>
      <w:r w:rsidR="006965B0" w:rsidRPr="00D16E75">
        <w:rPr>
          <w:rFonts w:cs="Times New Roman"/>
          <w:lang w:val="nl-NL"/>
        </w:rPr>
        <w:t>SEK, Roman, NOV</w:t>
      </w:r>
      <w:r w:rsidR="006965B0" w:rsidRPr="00D16E75">
        <w:rPr>
          <w:rFonts w:cs="Times New Roman"/>
        </w:rPr>
        <w:t>ÁKOVÁ</w:t>
      </w:r>
      <w:r w:rsidR="006965B0" w:rsidRPr="00D16E75">
        <w:rPr>
          <w:rFonts w:cs="Times New Roman"/>
          <w:lang w:val="de-DE"/>
        </w:rPr>
        <w:t>, Petra, KOSTOLANSK</w:t>
      </w:r>
      <w:r w:rsidR="006965B0" w:rsidRPr="00D16E75">
        <w:rPr>
          <w:rFonts w:cs="Times New Roman"/>
        </w:rPr>
        <w:t xml:space="preserve">Á, Eva, ROZEHNAL, Tomáš. Daňový řád. 3. vydání. Praha: Nakladatelství </w:t>
      </w:r>
      <w:r w:rsidR="006965B0" w:rsidRPr="00D16E75">
        <w:rPr>
          <w:rFonts w:cs="Times New Roman"/>
          <w:lang w:val="pt-PT"/>
        </w:rPr>
        <w:t>C. H. Beck, 2016, s. 636.</w:t>
      </w:r>
    </w:p>
  </w:footnote>
  <w:footnote w:id="44">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6965B0" w:rsidRPr="00D16E75">
        <w:rPr>
          <w:rFonts w:cs="Times New Roman"/>
        </w:rPr>
        <w:t>SKULOVÁ, Soňa. Správní právo procesní. 2., upr. vyd. Plzeň: Vydavatelství a nakladatelství Aleš Čeně</w:t>
      </w:r>
      <w:r w:rsidR="006965B0" w:rsidRPr="00D16E75">
        <w:rPr>
          <w:rFonts w:cs="Times New Roman"/>
          <w:lang w:val="pt-PT"/>
        </w:rPr>
        <w:t>k, 2012. s. 29</w:t>
      </w:r>
      <w:r w:rsidR="006965B0" w:rsidRPr="00D16E75">
        <w:rPr>
          <w:rFonts w:cs="Times New Roman"/>
        </w:rPr>
        <w:t>9-300, ISBN 978-80-7380-414-5.</w:t>
      </w:r>
    </w:p>
  </w:footnote>
  <w:footnote w:id="45">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§178 DŘ</w:t>
      </w:r>
    </w:p>
  </w:footnote>
  <w:footnote w:id="46">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§178 DŘ</w:t>
      </w:r>
    </w:p>
  </w:footnote>
  <w:footnote w:id="47">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§181 DŘ</w:t>
      </w:r>
    </w:p>
  </w:footnote>
  <w:footnote w:id="48">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§181(1) DŘ</w:t>
      </w:r>
    </w:p>
  </w:footnote>
  <w:footnote w:id="49">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srov. §182 a §184 DŘ</w:t>
      </w:r>
    </w:p>
  </w:footnote>
  <w:footnote w:id="50">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SKULOVÁ, Soňa. Správní právo procesní. 2., upr. vyd. Plzeň: Vydavatelství a nakladatelství Aleš Čeně</w:t>
      </w:r>
      <w:r w:rsidRPr="00D16E75">
        <w:rPr>
          <w:rFonts w:cs="Times New Roman"/>
          <w:lang w:val="pt-PT"/>
        </w:rPr>
        <w:t>k, 2012. s. 29</w:t>
      </w:r>
      <w:r w:rsidRPr="00D16E75">
        <w:rPr>
          <w:rFonts w:cs="Times New Roman"/>
        </w:rPr>
        <w:t>8, ISBN 978-80-7380-414-5.</w:t>
      </w:r>
    </w:p>
  </w:footnote>
  <w:footnote w:id="51">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Pr="00D16E75">
        <w:rPr>
          <w:rFonts w:cs="Times New Roman"/>
          <w:lang w:val="it-IT"/>
        </w:rPr>
        <w:t>Metodick</w:t>
      </w:r>
      <w:r w:rsidRPr="00D16E75">
        <w:rPr>
          <w:rFonts w:cs="Times New Roman"/>
        </w:rPr>
        <w:t>á pomůcka odboru stavebního řádu Ministerstva pro místní rozvoj pro stavební úř</w:t>
      </w:r>
      <w:r w:rsidRPr="00D16E75">
        <w:rPr>
          <w:rFonts w:cs="Times New Roman"/>
          <w:lang w:val="pt-PT"/>
        </w:rPr>
        <w:t>ady [online]. prosinec 2010 [cit. 2019-0</w:t>
      </w:r>
      <w:r w:rsidRPr="00D16E75">
        <w:rPr>
          <w:rFonts w:cs="Times New Roman"/>
        </w:rPr>
        <w:t>7-25]. Dostupn</w:t>
      </w:r>
      <w:r w:rsidRPr="00D16E75">
        <w:rPr>
          <w:rFonts w:cs="Times New Roman"/>
          <w:lang w:val="fr-FR"/>
        </w:rPr>
        <w:t xml:space="preserve">é </w:t>
      </w:r>
      <w:r w:rsidRPr="00D16E75">
        <w:rPr>
          <w:rFonts w:cs="Times New Roman"/>
        </w:rPr>
        <w:t xml:space="preserve">z: </w:t>
      </w:r>
      <w:hyperlink r:id="rId1" w:history="1">
        <w:r w:rsidRPr="00D16E75">
          <w:rPr>
            <w:rStyle w:val="Hyperlink0"/>
            <w:rFonts w:eastAsia="Calibri" w:cs="Times New Roman"/>
          </w:rPr>
          <w:t>http://www.mmr.cz/getmedia/6be63d6f-968a-4440-91bd-caf5ee3e6d27/exekuce</w:t>
        </w:r>
      </w:hyperlink>
    </w:p>
  </w:footnote>
  <w:footnote w:id="52">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Pr="00D16E75">
        <w:rPr>
          <w:rFonts w:cs="Times New Roman"/>
          <w:lang w:val="de-DE"/>
        </w:rPr>
        <w:t>HENDRYCH, Du</w:t>
      </w:r>
      <w:r w:rsidRPr="00D16E75">
        <w:rPr>
          <w:rFonts w:cs="Times New Roman"/>
        </w:rPr>
        <w:t>šan. Správní právo: obecná část. 9. vyd. Praha: C. H. Beck, 2016.s 284, Právnick</w:t>
      </w:r>
      <w:r w:rsidRPr="00D16E75">
        <w:rPr>
          <w:rFonts w:cs="Times New Roman"/>
          <w:lang w:val="fr-FR"/>
        </w:rPr>
        <w:t xml:space="preserve">é </w:t>
      </w:r>
      <w:r w:rsidRPr="00D16E75">
        <w:rPr>
          <w:rFonts w:cs="Times New Roman"/>
        </w:rPr>
        <w:t>učebnice. ISBN 978-80-7400-624-1.</w:t>
      </w:r>
    </w:p>
  </w:footnote>
  <w:footnote w:id="53">
    <w:p w:rsidR="00EB4396" w:rsidRPr="00D16E75" w:rsidRDefault="00EB4396"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§113 SŘ</w:t>
      </w:r>
    </w:p>
  </w:footnote>
  <w:footnote w:id="54">
    <w:p w:rsidR="00EB4396" w:rsidRPr="00D16E75" w:rsidRDefault="00EB4396"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§115 SŘ</w:t>
      </w:r>
    </w:p>
  </w:footnote>
  <w:footnote w:id="55">
    <w:p w:rsidR="00EB4396" w:rsidRPr="00D16E75" w:rsidRDefault="00EB4396"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§117 SŘ</w:t>
      </w:r>
    </w:p>
  </w:footnote>
  <w:footnote w:id="56">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§116 SŘ</w:t>
      </w:r>
    </w:p>
  </w:footnote>
  <w:footnote w:id="57">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ROZEHNAL, Tomáš. § </w:t>
      </w:r>
      <w:r w:rsidRPr="00D16E75">
        <w:rPr>
          <w:rFonts w:cs="Times New Roman"/>
          <w:lang w:val="nl-NL"/>
        </w:rPr>
        <w:t>178 []. In: LICHNOVSK</w:t>
      </w:r>
      <w:r w:rsidRPr="00D16E75">
        <w:rPr>
          <w:rFonts w:cs="Times New Roman"/>
        </w:rPr>
        <w:t>Ý</w:t>
      </w:r>
      <w:r w:rsidRPr="00D16E75">
        <w:rPr>
          <w:rFonts w:cs="Times New Roman"/>
          <w:lang w:val="nl-NL"/>
        </w:rPr>
        <w:t>, Ond</w:t>
      </w:r>
      <w:r w:rsidRPr="00D16E75">
        <w:rPr>
          <w:rFonts w:cs="Times New Roman"/>
        </w:rPr>
        <w:t>řej, ONDRÝ</w:t>
      </w:r>
      <w:r w:rsidRPr="00D16E75">
        <w:rPr>
          <w:rFonts w:cs="Times New Roman"/>
          <w:lang w:val="nl-NL"/>
        </w:rPr>
        <w:t>SEK, Roman, NOV</w:t>
      </w:r>
      <w:r w:rsidRPr="00D16E75">
        <w:rPr>
          <w:rFonts w:cs="Times New Roman"/>
        </w:rPr>
        <w:t>ÁKOVÁ</w:t>
      </w:r>
      <w:r w:rsidRPr="00D16E75">
        <w:rPr>
          <w:rFonts w:cs="Times New Roman"/>
          <w:lang w:val="de-DE"/>
        </w:rPr>
        <w:t>, Petra, KOSTOLANSK</w:t>
      </w:r>
      <w:r w:rsidRPr="00D16E75">
        <w:rPr>
          <w:rFonts w:cs="Times New Roman"/>
        </w:rPr>
        <w:t xml:space="preserve">Á, Eva, ROZEHNAL, Tomáš. Daňový řád. 3. vydání. Praha: Nakladatelství </w:t>
      </w:r>
      <w:r w:rsidRPr="00D16E75">
        <w:rPr>
          <w:rFonts w:cs="Times New Roman"/>
          <w:lang w:val="pt-PT"/>
        </w:rPr>
        <w:t>C. H. Beck, 2016, s. 651.</w:t>
      </w:r>
    </w:p>
  </w:footnote>
  <w:footnote w:id="58">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NSS 8 Afs 19/2009</w:t>
      </w:r>
    </w:p>
  </w:footnote>
  <w:footnote w:id="59">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EB4396" w:rsidRPr="00D16E75">
        <w:rPr>
          <w:rFonts w:cs="Times New Roman"/>
        </w:rPr>
        <w:t>ROZEHNAL, Tomáš. § </w:t>
      </w:r>
      <w:r w:rsidR="00EB4396" w:rsidRPr="00D16E75">
        <w:rPr>
          <w:rFonts w:cs="Times New Roman"/>
          <w:lang w:val="nl-NL"/>
        </w:rPr>
        <w:t>178 []. In: LICHNOVSK</w:t>
      </w:r>
      <w:r w:rsidR="00EB4396" w:rsidRPr="00D16E75">
        <w:rPr>
          <w:rFonts w:cs="Times New Roman"/>
        </w:rPr>
        <w:t>Ý</w:t>
      </w:r>
      <w:r w:rsidR="00EB4396" w:rsidRPr="00D16E75">
        <w:rPr>
          <w:rFonts w:cs="Times New Roman"/>
          <w:lang w:val="nl-NL"/>
        </w:rPr>
        <w:t>, Ond</w:t>
      </w:r>
      <w:r w:rsidR="00EB4396" w:rsidRPr="00D16E75">
        <w:rPr>
          <w:rFonts w:cs="Times New Roman"/>
        </w:rPr>
        <w:t>řej, ONDRÝ</w:t>
      </w:r>
      <w:r w:rsidR="00EB4396" w:rsidRPr="00D16E75">
        <w:rPr>
          <w:rFonts w:cs="Times New Roman"/>
          <w:lang w:val="nl-NL"/>
        </w:rPr>
        <w:t>SEK, Roman, NOV</w:t>
      </w:r>
      <w:r w:rsidR="00EB4396" w:rsidRPr="00D16E75">
        <w:rPr>
          <w:rFonts w:cs="Times New Roman"/>
        </w:rPr>
        <w:t>ÁKOVÁ</w:t>
      </w:r>
      <w:r w:rsidR="00EB4396" w:rsidRPr="00D16E75">
        <w:rPr>
          <w:rFonts w:cs="Times New Roman"/>
          <w:lang w:val="de-DE"/>
        </w:rPr>
        <w:t>, Petra, KOSTOLANSK</w:t>
      </w:r>
      <w:r w:rsidR="00EB4396" w:rsidRPr="00D16E75">
        <w:rPr>
          <w:rFonts w:cs="Times New Roman"/>
        </w:rPr>
        <w:t xml:space="preserve">Á, Eva, ROZEHNAL, Tomáš. Daňový řád. 3. vydání. Praha: Nakladatelství </w:t>
      </w:r>
      <w:r w:rsidR="00EB4396" w:rsidRPr="00D16E75">
        <w:rPr>
          <w:rFonts w:cs="Times New Roman"/>
          <w:lang w:val="pt-PT"/>
        </w:rPr>
        <w:t>C. H. Beck, 2016, s. 651.</w:t>
      </w:r>
    </w:p>
  </w:footnote>
  <w:footnote w:id="60">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JUDr. Mgr. Luboš Jemelka, Mgr. Klá</w:t>
      </w:r>
      <w:r w:rsidRPr="00D16E75">
        <w:rPr>
          <w:rFonts w:cs="Times New Roman"/>
          <w:lang w:val="it-IT"/>
        </w:rPr>
        <w:t>ra Ponde</w:t>
      </w:r>
      <w:r w:rsidRPr="00D16E75">
        <w:rPr>
          <w:rFonts w:cs="Times New Roman"/>
        </w:rPr>
        <w:t>̌líčková, Mgr. Ing. David Bohadlo: Správní řád, 2. vydání. Praha: 2009, s.419 Nakladatelství C. H. Beck, ISBN 978-80-7400-157-4</w:t>
      </w:r>
    </w:p>
  </w:footnote>
  <w:footnote w:id="61">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JUDr. Mgr. Luboš Jemelka, Mgr. Klá</w:t>
      </w:r>
      <w:r w:rsidRPr="00D16E75">
        <w:rPr>
          <w:rFonts w:cs="Times New Roman"/>
          <w:lang w:val="it-IT"/>
        </w:rPr>
        <w:t>ra Ponde</w:t>
      </w:r>
      <w:r w:rsidRPr="00D16E75">
        <w:rPr>
          <w:rFonts w:cs="Times New Roman"/>
        </w:rPr>
        <w:t>̌líčková, Mgr. Ing. David Bohadlo: Správní řád, 2. vydání. Praha: 2009, s.419 Nakladatelství C. H. Beck, ISBN 978-80-7400-157-4</w:t>
      </w:r>
    </w:p>
  </w:footnote>
  <w:footnote w:id="62">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Tamtéž</w:t>
      </w:r>
    </w:p>
  </w:footnote>
  <w:footnote w:id="63">
    <w:p w:rsidR="00EB4396" w:rsidRPr="00D16E75" w:rsidRDefault="00EB4396"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Tamtéž</w:t>
      </w:r>
    </w:p>
  </w:footnote>
  <w:footnote w:id="64">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EB4396" w:rsidRPr="00D16E75">
        <w:rPr>
          <w:rFonts w:cs="Times New Roman"/>
          <w:lang w:val="en-US"/>
        </w:rPr>
        <w:t>WINTEROV</w:t>
      </w:r>
      <w:r w:rsidR="00EB4396" w:rsidRPr="00D16E75">
        <w:rPr>
          <w:rFonts w:cs="Times New Roman"/>
        </w:rPr>
        <w:t>Á, Alena. Civilní právo procesní: vysokoškolská učebnice. 3. aktualiz. a dopl. vyd. Praha: Linde, 2004. s. 489, Vysokoškolsk</w:t>
      </w:r>
      <w:r w:rsidR="00EB4396" w:rsidRPr="00D16E75">
        <w:rPr>
          <w:rFonts w:cs="Times New Roman"/>
          <w:lang w:val="fr-FR"/>
        </w:rPr>
        <w:t xml:space="preserve">é </w:t>
      </w:r>
      <w:r w:rsidR="00EB4396" w:rsidRPr="00D16E75">
        <w:rPr>
          <w:rFonts w:cs="Times New Roman"/>
        </w:rPr>
        <w:t>právnick</w:t>
      </w:r>
      <w:r w:rsidR="00EB4396" w:rsidRPr="00D16E75">
        <w:rPr>
          <w:rFonts w:cs="Times New Roman"/>
          <w:lang w:val="fr-FR"/>
        </w:rPr>
        <w:t xml:space="preserve">é </w:t>
      </w:r>
      <w:r w:rsidR="00EB4396" w:rsidRPr="00D16E75">
        <w:rPr>
          <w:rFonts w:cs="Times New Roman"/>
        </w:rPr>
        <w:t>učebnice. ISBN 80-7201-464-1.</w:t>
      </w:r>
    </w:p>
  </w:footnote>
  <w:footnote w:id="65">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lang w:val="en-US"/>
        </w:rPr>
        <w:t>WINTEROV</w:t>
      </w:r>
      <w:r w:rsidR="00BF6AD2" w:rsidRPr="00D16E75">
        <w:rPr>
          <w:rFonts w:cs="Times New Roman"/>
        </w:rPr>
        <w:t>Á, Alena. Civilní právo procesní: vysokoškolská učebnice. 3. aktualiz. a dopl. vyd. Praha: Linde, 2004. s. 490, Vysokoškolsk</w:t>
      </w:r>
      <w:r w:rsidR="00BF6AD2" w:rsidRPr="00D16E75">
        <w:rPr>
          <w:rFonts w:cs="Times New Roman"/>
          <w:lang w:val="fr-FR"/>
        </w:rPr>
        <w:t xml:space="preserve">é </w:t>
      </w:r>
      <w:r w:rsidR="00BF6AD2" w:rsidRPr="00D16E75">
        <w:rPr>
          <w:rFonts w:cs="Times New Roman"/>
        </w:rPr>
        <w:t>právnick</w:t>
      </w:r>
      <w:r w:rsidR="00BF6AD2" w:rsidRPr="00D16E75">
        <w:rPr>
          <w:rFonts w:cs="Times New Roman"/>
          <w:lang w:val="fr-FR"/>
        </w:rPr>
        <w:t xml:space="preserve">é </w:t>
      </w:r>
      <w:r w:rsidR="00BF6AD2" w:rsidRPr="00D16E75">
        <w:rPr>
          <w:rFonts w:cs="Times New Roman"/>
        </w:rPr>
        <w:t>učebnice. ISBN 80-7201-464-1.</w:t>
      </w:r>
    </w:p>
  </w:footnote>
  <w:footnote w:id="66">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lang w:val="en-US"/>
        </w:rPr>
        <w:t>WINTEROV</w:t>
      </w:r>
      <w:r w:rsidR="00BF6AD2" w:rsidRPr="00D16E75">
        <w:rPr>
          <w:rFonts w:cs="Times New Roman"/>
        </w:rPr>
        <w:t>Á, Alena. Civilní právo procesní: vysokoškolská učebnice. 3. aktualiz. a dopl. vyd. Praha: Linde, 2004. s. 494, Vysokoškolsk</w:t>
      </w:r>
      <w:r w:rsidR="00BF6AD2" w:rsidRPr="00D16E75">
        <w:rPr>
          <w:rFonts w:cs="Times New Roman"/>
          <w:lang w:val="fr-FR"/>
        </w:rPr>
        <w:t xml:space="preserve">é </w:t>
      </w:r>
      <w:r w:rsidR="00BF6AD2" w:rsidRPr="00D16E75">
        <w:rPr>
          <w:rFonts w:cs="Times New Roman"/>
        </w:rPr>
        <w:t>právnick</w:t>
      </w:r>
      <w:r w:rsidR="00BF6AD2" w:rsidRPr="00D16E75">
        <w:rPr>
          <w:rFonts w:cs="Times New Roman"/>
          <w:lang w:val="fr-FR"/>
        </w:rPr>
        <w:t xml:space="preserve">é </w:t>
      </w:r>
      <w:r w:rsidR="00BF6AD2" w:rsidRPr="00D16E75">
        <w:rPr>
          <w:rFonts w:cs="Times New Roman"/>
        </w:rPr>
        <w:t>učebnice. ISBN 80-7201-464-1.</w:t>
      </w:r>
    </w:p>
  </w:footnote>
  <w:footnote w:id="67">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lang w:val="de-DE"/>
        </w:rPr>
        <w:t>LEV</w:t>
      </w:r>
      <w:r w:rsidR="00BF6AD2" w:rsidRPr="00D16E75">
        <w:rPr>
          <w:rFonts w:cs="Times New Roman"/>
        </w:rPr>
        <w:t>Ý, Jiří. § </w:t>
      </w:r>
      <w:r w:rsidR="00BF6AD2" w:rsidRPr="00D16E75">
        <w:rPr>
          <w:rFonts w:cs="Times New Roman"/>
          <w:lang w:val="de-DE"/>
        </w:rPr>
        <w:t>274 []. In: SVOBODA, Karel, SMOL</w:t>
      </w:r>
      <w:r w:rsidR="00BF6AD2" w:rsidRPr="00D16E75">
        <w:rPr>
          <w:rFonts w:cs="Times New Roman"/>
        </w:rPr>
        <w:t>Í</w:t>
      </w:r>
      <w:r w:rsidR="00BF6AD2" w:rsidRPr="00D16E75">
        <w:rPr>
          <w:rFonts w:cs="Times New Roman"/>
          <w:lang w:val="de-DE"/>
        </w:rPr>
        <w:t>K, Petr, LEV</w:t>
      </w:r>
      <w:r w:rsidR="00BF6AD2" w:rsidRPr="00D16E75">
        <w:rPr>
          <w:rFonts w:cs="Times New Roman"/>
        </w:rPr>
        <w:t>Ý, Jiří, ŠÍ</w:t>
      </w:r>
      <w:r w:rsidR="00BF6AD2" w:rsidRPr="00D16E75">
        <w:rPr>
          <w:rFonts w:cs="Times New Roman"/>
          <w:lang w:val="nl-NL"/>
        </w:rPr>
        <w:t>NOV</w:t>
      </w:r>
      <w:r w:rsidR="00BF6AD2" w:rsidRPr="00D16E75">
        <w:rPr>
          <w:rFonts w:cs="Times New Roman"/>
        </w:rPr>
        <w:t>Á</w:t>
      </w:r>
      <w:r w:rsidR="00BF6AD2" w:rsidRPr="00D16E75">
        <w:rPr>
          <w:rFonts w:cs="Times New Roman"/>
          <w:lang w:val="de-DE"/>
        </w:rPr>
        <w:t>, Ren</w:t>
      </w:r>
      <w:r w:rsidR="00BF6AD2" w:rsidRPr="00D16E75">
        <w:rPr>
          <w:rFonts w:cs="Times New Roman"/>
        </w:rPr>
        <w:t>á</w:t>
      </w:r>
      <w:r w:rsidR="00BF6AD2" w:rsidRPr="00D16E75">
        <w:rPr>
          <w:rFonts w:cs="Times New Roman"/>
          <w:lang w:val="it-IT"/>
        </w:rPr>
        <w:t>ta. Ob</w:t>
      </w:r>
      <w:r w:rsidR="00BF6AD2" w:rsidRPr="00D16E75">
        <w:rPr>
          <w:rFonts w:cs="Times New Roman"/>
        </w:rPr>
        <w:t>č</w:t>
      </w:r>
      <w:r w:rsidR="00BF6AD2" w:rsidRPr="00D16E75">
        <w:rPr>
          <w:rFonts w:cs="Times New Roman"/>
          <w:lang w:val="da-DK"/>
        </w:rPr>
        <w:t>ansk</w:t>
      </w:r>
      <w:r w:rsidR="00BF6AD2" w:rsidRPr="00D16E75">
        <w:rPr>
          <w:rFonts w:cs="Times New Roman"/>
        </w:rPr>
        <w:t xml:space="preserve">ý soudní řád. 2. vydání. Praha: Nakladatelství </w:t>
      </w:r>
      <w:r w:rsidR="00BF6AD2" w:rsidRPr="00D16E75">
        <w:rPr>
          <w:rFonts w:cs="Times New Roman"/>
          <w:lang w:val="pt-PT"/>
        </w:rPr>
        <w:t>C. H. Beck, 2017, s. 1135.</w:t>
      </w:r>
    </w:p>
  </w:footnote>
  <w:footnote w:id="68">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lang w:val="de-DE"/>
        </w:rPr>
        <w:t>LEV</w:t>
      </w:r>
      <w:r w:rsidR="00BF6AD2" w:rsidRPr="00D16E75">
        <w:rPr>
          <w:rFonts w:cs="Times New Roman"/>
        </w:rPr>
        <w:t>Ý, Jiří. § </w:t>
      </w:r>
      <w:r w:rsidR="00BF6AD2" w:rsidRPr="00D16E75">
        <w:rPr>
          <w:rFonts w:cs="Times New Roman"/>
          <w:lang w:val="de-DE"/>
        </w:rPr>
        <w:t>274 []. In: SVOBODA, Karel, SMOL</w:t>
      </w:r>
      <w:r w:rsidR="00BF6AD2" w:rsidRPr="00D16E75">
        <w:rPr>
          <w:rFonts w:cs="Times New Roman"/>
        </w:rPr>
        <w:t>Í</w:t>
      </w:r>
      <w:r w:rsidR="00BF6AD2" w:rsidRPr="00D16E75">
        <w:rPr>
          <w:rFonts w:cs="Times New Roman"/>
          <w:lang w:val="de-DE"/>
        </w:rPr>
        <w:t>K, Petr, LEV</w:t>
      </w:r>
      <w:r w:rsidR="00BF6AD2" w:rsidRPr="00D16E75">
        <w:rPr>
          <w:rFonts w:cs="Times New Roman"/>
        </w:rPr>
        <w:t>Ý, Jiří, ŠÍ</w:t>
      </w:r>
      <w:r w:rsidR="00BF6AD2" w:rsidRPr="00D16E75">
        <w:rPr>
          <w:rFonts w:cs="Times New Roman"/>
          <w:lang w:val="nl-NL"/>
        </w:rPr>
        <w:t>NOV</w:t>
      </w:r>
      <w:r w:rsidR="00BF6AD2" w:rsidRPr="00D16E75">
        <w:rPr>
          <w:rFonts w:cs="Times New Roman"/>
        </w:rPr>
        <w:t>Á</w:t>
      </w:r>
      <w:r w:rsidR="00BF6AD2" w:rsidRPr="00D16E75">
        <w:rPr>
          <w:rFonts w:cs="Times New Roman"/>
          <w:lang w:val="de-DE"/>
        </w:rPr>
        <w:t>, Ren</w:t>
      </w:r>
      <w:r w:rsidR="00BF6AD2" w:rsidRPr="00D16E75">
        <w:rPr>
          <w:rFonts w:cs="Times New Roman"/>
        </w:rPr>
        <w:t>á</w:t>
      </w:r>
      <w:r w:rsidR="00BF6AD2" w:rsidRPr="00D16E75">
        <w:rPr>
          <w:rFonts w:cs="Times New Roman"/>
          <w:lang w:val="it-IT"/>
        </w:rPr>
        <w:t>ta. Ob</w:t>
      </w:r>
      <w:r w:rsidR="00BF6AD2" w:rsidRPr="00D16E75">
        <w:rPr>
          <w:rFonts w:cs="Times New Roman"/>
        </w:rPr>
        <w:t>č</w:t>
      </w:r>
      <w:r w:rsidR="00BF6AD2" w:rsidRPr="00D16E75">
        <w:rPr>
          <w:rFonts w:cs="Times New Roman"/>
          <w:lang w:val="da-DK"/>
        </w:rPr>
        <w:t>ansk</w:t>
      </w:r>
      <w:r w:rsidR="00BF6AD2" w:rsidRPr="00D16E75">
        <w:rPr>
          <w:rFonts w:cs="Times New Roman"/>
        </w:rPr>
        <w:t xml:space="preserve">ý soudní řád. 2. vydání. Praha: Nakladatelství </w:t>
      </w:r>
      <w:r w:rsidR="00BF6AD2" w:rsidRPr="00D16E75">
        <w:rPr>
          <w:rFonts w:cs="Times New Roman"/>
          <w:lang w:val="pt-PT"/>
        </w:rPr>
        <w:t>C. H. Beck, 2017, s. 1135.</w:t>
      </w:r>
    </w:p>
  </w:footnote>
  <w:footnote w:id="69">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Tamtéž</w:t>
      </w:r>
    </w:p>
  </w:footnote>
  <w:footnote w:id="70">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w:t>
      </w:r>
      <w:r w:rsidRPr="00D16E75">
        <w:rPr>
          <w:rFonts w:cs="Times New Roman"/>
          <w:lang w:val="de-DE"/>
        </w:rPr>
        <w:t>LEV</w:t>
      </w:r>
      <w:r w:rsidRPr="00D16E75">
        <w:rPr>
          <w:rFonts w:cs="Times New Roman"/>
        </w:rPr>
        <w:t>Ý, Jiří. § </w:t>
      </w:r>
      <w:r w:rsidRPr="00D16E75">
        <w:rPr>
          <w:rFonts w:cs="Times New Roman"/>
          <w:lang w:val="de-DE"/>
        </w:rPr>
        <w:t>274 []. In: SVOBODA, Karel, SMOL</w:t>
      </w:r>
      <w:r w:rsidRPr="00D16E75">
        <w:rPr>
          <w:rFonts w:cs="Times New Roman"/>
        </w:rPr>
        <w:t>Í</w:t>
      </w:r>
      <w:r w:rsidRPr="00D16E75">
        <w:rPr>
          <w:rFonts w:cs="Times New Roman"/>
          <w:lang w:val="de-DE"/>
        </w:rPr>
        <w:t>K, Petr, LEV</w:t>
      </w:r>
      <w:r w:rsidRPr="00D16E75">
        <w:rPr>
          <w:rFonts w:cs="Times New Roman"/>
        </w:rPr>
        <w:t>Ý, Jiří, ŠÍ</w:t>
      </w:r>
      <w:r w:rsidRPr="00D16E75">
        <w:rPr>
          <w:rFonts w:cs="Times New Roman"/>
          <w:lang w:val="nl-NL"/>
        </w:rPr>
        <w:t>NOV</w:t>
      </w:r>
      <w:r w:rsidRPr="00D16E75">
        <w:rPr>
          <w:rFonts w:cs="Times New Roman"/>
        </w:rPr>
        <w:t>Á</w:t>
      </w:r>
      <w:r w:rsidRPr="00D16E75">
        <w:rPr>
          <w:rFonts w:cs="Times New Roman"/>
          <w:lang w:val="de-DE"/>
        </w:rPr>
        <w:t>, Ren</w:t>
      </w:r>
      <w:r w:rsidRPr="00D16E75">
        <w:rPr>
          <w:rFonts w:cs="Times New Roman"/>
        </w:rPr>
        <w:t>á</w:t>
      </w:r>
      <w:r w:rsidRPr="00D16E75">
        <w:rPr>
          <w:rFonts w:cs="Times New Roman"/>
          <w:lang w:val="it-IT"/>
        </w:rPr>
        <w:t>ta. Ob</w:t>
      </w:r>
      <w:r w:rsidRPr="00D16E75">
        <w:rPr>
          <w:rFonts w:cs="Times New Roman"/>
        </w:rPr>
        <w:t>č</w:t>
      </w:r>
      <w:r w:rsidRPr="00D16E75">
        <w:rPr>
          <w:rFonts w:cs="Times New Roman"/>
          <w:lang w:val="da-DK"/>
        </w:rPr>
        <w:t>ansk</w:t>
      </w:r>
      <w:r w:rsidRPr="00D16E75">
        <w:rPr>
          <w:rFonts w:cs="Times New Roman"/>
        </w:rPr>
        <w:t xml:space="preserve">ý soudní řád. 2. vydání. Praha: Nakladatelství </w:t>
      </w:r>
      <w:r w:rsidRPr="00D16E75">
        <w:rPr>
          <w:rFonts w:cs="Times New Roman"/>
          <w:lang w:val="pt-PT"/>
        </w:rPr>
        <w:t>C. H. Beck, 2017, s. 1135.</w:t>
      </w:r>
    </w:p>
  </w:footnote>
  <w:footnote w:id="71">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rPr>
        <w:t>KASÍKOVÁ</w:t>
      </w:r>
      <w:r w:rsidR="00BF6AD2" w:rsidRPr="00D16E75">
        <w:rPr>
          <w:rFonts w:cs="Times New Roman"/>
          <w:lang w:val="it-IT"/>
        </w:rPr>
        <w:t xml:space="preserve">, Martina. </w:t>
      </w:r>
      <w:r w:rsidR="00BF6AD2" w:rsidRPr="00D16E75">
        <w:rPr>
          <w:rFonts w:cs="Times New Roman"/>
        </w:rPr>
        <w:t>§ 40 []. In: KASÍKOVÁ</w:t>
      </w:r>
      <w:r w:rsidR="00BF6AD2" w:rsidRPr="00D16E75">
        <w:rPr>
          <w:rFonts w:cs="Times New Roman"/>
          <w:lang w:val="de-DE"/>
        </w:rPr>
        <w:t>, Martina, JIRMANOV</w:t>
      </w:r>
      <w:r w:rsidR="00BF6AD2" w:rsidRPr="00D16E75">
        <w:rPr>
          <w:rFonts w:cs="Times New Roman"/>
        </w:rPr>
        <w:t>Á, Miroslava, HUBÁČEK, Jaroslav, PLÁŠIL, Vladimír, Š</w:t>
      </w:r>
      <w:r w:rsidR="00BF6AD2" w:rsidRPr="00D16E75">
        <w:rPr>
          <w:rFonts w:cs="Times New Roman"/>
          <w:lang w:val="de-DE"/>
        </w:rPr>
        <w:t>IMKA, Karel, KU</w:t>
      </w:r>
      <w:r w:rsidR="00BF6AD2" w:rsidRPr="00D16E75">
        <w:rPr>
          <w:rFonts w:cs="Times New Roman"/>
        </w:rPr>
        <w:t>ČERA, Zdeně</w:t>
      </w:r>
      <w:r w:rsidR="00BF6AD2" w:rsidRPr="00D16E75">
        <w:rPr>
          <w:rFonts w:cs="Times New Roman"/>
          <w:lang w:val="de-DE"/>
        </w:rPr>
        <w:t>k, NEKOLA, V</w:t>
      </w:r>
      <w:r w:rsidR="00BF6AD2" w:rsidRPr="00D16E75">
        <w:rPr>
          <w:rFonts w:cs="Times New Roman"/>
        </w:rPr>
        <w:t xml:space="preserve">áclav. Exekuční řád. 4. vydání. Praha: Nakladatelství </w:t>
      </w:r>
      <w:r w:rsidR="00BF6AD2" w:rsidRPr="00D16E75">
        <w:rPr>
          <w:rFonts w:cs="Times New Roman"/>
          <w:lang w:val="pt-PT"/>
        </w:rPr>
        <w:t>C. H. Beck, 2017, s. 234.</w:t>
      </w:r>
    </w:p>
  </w:footnote>
  <w:footnote w:id="72">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rPr>
        <w:t>KASÍKOVÁ</w:t>
      </w:r>
      <w:r w:rsidR="00BF6AD2" w:rsidRPr="00D16E75">
        <w:rPr>
          <w:rFonts w:cs="Times New Roman"/>
          <w:lang w:val="it-IT"/>
        </w:rPr>
        <w:t xml:space="preserve">, Martina. </w:t>
      </w:r>
      <w:r w:rsidR="00BF6AD2" w:rsidRPr="00D16E75">
        <w:rPr>
          <w:rFonts w:cs="Times New Roman"/>
        </w:rPr>
        <w:t>§ 40 []. In: KASÍKOVÁ</w:t>
      </w:r>
      <w:r w:rsidR="00BF6AD2" w:rsidRPr="00D16E75">
        <w:rPr>
          <w:rFonts w:cs="Times New Roman"/>
          <w:lang w:val="de-DE"/>
        </w:rPr>
        <w:t>, Martina, JIRMANOV</w:t>
      </w:r>
      <w:r w:rsidR="00BF6AD2" w:rsidRPr="00D16E75">
        <w:rPr>
          <w:rFonts w:cs="Times New Roman"/>
        </w:rPr>
        <w:t>Á, Miroslava, HUBÁČEK, Jaroslav, PLÁŠIL, Vladimír, Š</w:t>
      </w:r>
      <w:r w:rsidR="00BF6AD2" w:rsidRPr="00D16E75">
        <w:rPr>
          <w:rFonts w:cs="Times New Roman"/>
          <w:lang w:val="de-DE"/>
        </w:rPr>
        <w:t>IMKA, Karel, KU</w:t>
      </w:r>
      <w:r w:rsidR="00BF6AD2" w:rsidRPr="00D16E75">
        <w:rPr>
          <w:rFonts w:cs="Times New Roman"/>
        </w:rPr>
        <w:t>ČERA, Zdeně</w:t>
      </w:r>
      <w:r w:rsidR="00BF6AD2" w:rsidRPr="00D16E75">
        <w:rPr>
          <w:rFonts w:cs="Times New Roman"/>
          <w:lang w:val="de-DE"/>
        </w:rPr>
        <w:t>k, NEKOLA, V</w:t>
      </w:r>
      <w:r w:rsidR="00BF6AD2" w:rsidRPr="00D16E75">
        <w:rPr>
          <w:rFonts w:cs="Times New Roman"/>
        </w:rPr>
        <w:t xml:space="preserve">áclav. Exekuční řád. 4. vydání. Praha: Nakladatelství </w:t>
      </w:r>
      <w:r w:rsidR="00BF6AD2" w:rsidRPr="00D16E75">
        <w:rPr>
          <w:rFonts w:cs="Times New Roman"/>
          <w:lang w:val="pt-PT"/>
        </w:rPr>
        <w:t>C. H. Beck, 2017, s. 234.</w:t>
      </w:r>
    </w:p>
  </w:footnote>
  <w:footnote w:id="73">
    <w:p w:rsidR="00D3290D" w:rsidRPr="00D16E75" w:rsidRDefault="00D3290D" w:rsidP="00D16E75">
      <w:pPr>
        <w:pStyle w:val="Textpoznpodarou"/>
        <w:spacing w:line="240" w:lineRule="auto"/>
        <w:ind w:firstLine="0"/>
        <w:rPr>
          <w:rFonts w:cs="Times New Roman"/>
        </w:rPr>
      </w:pPr>
      <w:r w:rsidRPr="00D16E75">
        <w:rPr>
          <w:rFonts w:eastAsia="Times New Roman" w:cs="Times New Roman"/>
          <w:vertAlign w:val="superscript"/>
        </w:rPr>
        <w:footnoteRef/>
      </w:r>
      <w:r w:rsidRPr="00D16E75">
        <w:rPr>
          <w:rFonts w:cs="Times New Roman"/>
        </w:rPr>
        <w:t xml:space="preserve"> </w:t>
      </w:r>
      <w:r w:rsidR="00BF6AD2" w:rsidRPr="00D16E75">
        <w:rPr>
          <w:rFonts w:cs="Times New Roman"/>
        </w:rPr>
        <w:t>KASÍKOVÁ</w:t>
      </w:r>
      <w:r w:rsidR="00BF6AD2" w:rsidRPr="00D16E75">
        <w:rPr>
          <w:rFonts w:cs="Times New Roman"/>
          <w:lang w:val="it-IT"/>
        </w:rPr>
        <w:t xml:space="preserve">, Martina. </w:t>
      </w:r>
      <w:r w:rsidR="00BF6AD2" w:rsidRPr="00D16E75">
        <w:rPr>
          <w:rFonts w:cs="Times New Roman"/>
        </w:rPr>
        <w:t>§ 40 []. In: KASÍKOVÁ</w:t>
      </w:r>
      <w:r w:rsidR="00BF6AD2" w:rsidRPr="00D16E75">
        <w:rPr>
          <w:rFonts w:cs="Times New Roman"/>
          <w:lang w:val="de-DE"/>
        </w:rPr>
        <w:t>, Martina, JIRMANOV</w:t>
      </w:r>
      <w:r w:rsidR="00BF6AD2" w:rsidRPr="00D16E75">
        <w:rPr>
          <w:rFonts w:cs="Times New Roman"/>
        </w:rPr>
        <w:t>Á, Miroslava, HUBÁČEK, Jaroslav, PLÁŠIL, Vladimír, Š</w:t>
      </w:r>
      <w:r w:rsidR="00BF6AD2" w:rsidRPr="00D16E75">
        <w:rPr>
          <w:rFonts w:cs="Times New Roman"/>
          <w:lang w:val="de-DE"/>
        </w:rPr>
        <w:t>IMKA, Karel, KU</w:t>
      </w:r>
      <w:r w:rsidR="00BF6AD2" w:rsidRPr="00D16E75">
        <w:rPr>
          <w:rFonts w:cs="Times New Roman"/>
        </w:rPr>
        <w:t>ČERA, Zdeně</w:t>
      </w:r>
      <w:r w:rsidR="00BF6AD2" w:rsidRPr="00D16E75">
        <w:rPr>
          <w:rFonts w:cs="Times New Roman"/>
          <w:lang w:val="de-DE"/>
        </w:rPr>
        <w:t>k, NEKOLA, V</w:t>
      </w:r>
      <w:r w:rsidR="00BF6AD2" w:rsidRPr="00D16E75">
        <w:rPr>
          <w:rFonts w:cs="Times New Roman"/>
        </w:rPr>
        <w:t xml:space="preserve">áclav. Exekuční řád. 4. vydání. Praha: Nakladatelství </w:t>
      </w:r>
      <w:r w:rsidR="00BF6AD2" w:rsidRPr="00D16E75">
        <w:rPr>
          <w:rFonts w:cs="Times New Roman"/>
          <w:lang w:val="pt-PT"/>
        </w:rPr>
        <w:t>C. H. Beck, 2017, s. 234.</w:t>
      </w:r>
    </w:p>
  </w:footnote>
  <w:footnote w:id="74">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KASÍKOVÁ</w:t>
      </w:r>
      <w:r w:rsidRPr="00D16E75">
        <w:rPr>
          <w:rFonts w:cs="Times New Roman"/>
          <w:lang w:val="it-IT"/>
        </w:rPr>
        <w:t xml:space="preserve">, Martina. </w:t>
      </w:r>
      <w:r w:rsidRPr="00D16E75">
        <w:rPr>
          <w:rFonts w:cs="Times New Roman"/>
        </w:rPr>
        <w:t>§ 40 []. In: KASÍKOVÁ</w:t>
      </w:r>
      <w:r w:rsidRPr="00D16E75">
        <w:rPr>
          <w:rFonts w:cs="Times New Roman"/>
          <w:lang w:val="de-DE"/>
        </w:rPr>
        <w:t>, Martina, JIRMANOV</w:t>
      </w:r>
      <w:r w:rsidRPr="00D16E75">
        <w:rPr>
          <w:rFonts w:cs="Times New Roman"/>
        </w:rPr>
        <w:t>Á, Miroslava, HUBÁČEK, Jaroslav, PLÁŠIL, Vladimír, Š</w:t>
      </w:r>
      <w:r w:rsidRPr="00D16E75">
        <w:rPr>
          <w:rFonts w:cs="Times New Roman"/>
          <w:lang w:val="de-DE"/>
        </w:rPr>
        <w:t>IMKA, Karel, KU</w:t>
      </w:r>
      <w:r w:rsidRPr="00D16E75">
        <w:rPr>
          <w:rFonts w:cs="Times New Roman"/>
        </w:rPr>
        <w:t>ČERA, Zdeně</w:t>
      </w:r>
      <w:r w:rsidRPr="00D16E75">
        <w:rPr>
          <w:rFonts w:cs="Times New Roman"/>
          <w:lang w:val="de-DE"/>
        </w:rPr>
        <w:t>k, NEKOLA, V</w:t>
      </w:r>
      <w:r w:rsidRPr="00D16E75">
        <w:rPr>
          <w:rFonts w:cs="Times New Roman"/>
        </w:rPr>
        <w:t xml:space="preserve">áclav. Exekuční řád. 4. vydání. Praha: Nakladatelství </w:t>
      </w:r>
      <w:r w:rsidRPr="00D16E75">
        <w:rPr>
          <w:rFonts w:cs="Times New Roman"/>
          <w:lang w:val="pt-PT"/>
        </w:rPr>
        <w:t>C. H. Beck, 2017, s. 234.</w:t>
      </w:r>
    </w:p>
  </w:footnote>
  <w:footnote w:id="75">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§261 OSŘ</w:t>
      </w:r>
    </w:p>
  </w:footnote>
  <w:footnote w:id="76">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§261 OSŘ</w:t>
      </w:r>
    </w:p>
  </w:footnote>
  <w:footnote w:id="77">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§265 OSŘ</w:t>
      </w:r>
    </w:p>
  </w:footnote>
  <w:footnote w:id="78">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§267a OSŘ</w:t>
      </w:r>
    </w:p>
  </w:footnote>
  <w:footnote w:id="79">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§270 OSŘ</w:t>
      </w:r>
    </w:p>
  </w:footnote>
  <w:footnote w:id="80">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§37 EŘ</w:t>
      </w:r>
    </w:p>
  </w:footnote>
  <w:footnote w:id="81">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dle §37 EŘ</w:t>
      </w:r>
    </w:p>
  </w:footnote>
  <w:footnote w:id="82">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vzor exekučního návrhu viz. příloha č. 3</w:t>
      </w:r>
    </w:p>
  </w:footnote>
  <w:footnote w:id="83">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§38 EŘ</w:t>
      </w:r>
    </w:p>
  </w:footnote>
  <w:footnote w:id="84">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§47 EŘ</w:t>
      </w:r>
    </w:p>
  </w:footnote>
  <w:footnote w:id="85">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§49 EŘ</w:t>
      </w:r>
    </w:p>
  </w:footnote>
  <w:footnote w:id="86">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§54 EŘ</w:t>
      </w:r>
    </w:p>
  </w:footnote>
  <w:footnote w:id="87">
    <w:p w:rsidR="00BF6AD2" w:rsidRPr="00D16E75" w:rsidRDefault="00BF6AD2" w:rsidP="00D16E75">
      <w:pPr>
        <w:pStyle w:val="Textpoznpodarou"/>
        <w:spacing w:line="240" w:lineRule="auto"/>
        <w:rPr>
          <w:rFonts w:cs="Times New Roman"/>
        </w:rPr>
      </w:pPr>
      <w:r w:rsidRPr="00D16E75">
        <w:rPr>
          <w:rStyle w:val="Znakapoznpodarou"/>
          <w:rFonts w:cs="Times New Roman"/>
        </w:rPr>
        <w:footnoteRef/>
      </w:r>
      <w:r w:rsidRPr="00D16E75">
        <w:rPr>
          <w:rFonts w:cs="Times New Roman"/>
        </w:rPr>
        <w:t xml:space="preserve"> dle §55 EŘ</w:t>
      </w:r>
    </w:p>
  </w:footnote>
  <w:footnote w:id="88">
    <w:p w:rsidR="00BF6AD2" w:rsidRPr="00D16E75" w:rsidRDefault="00BF6AD2"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KASÍKOVÁ</w:t>
      </w:r>
      <w:r w:rsidRPr="00D16E75">
        <w:rPr>
          <w:rFonts w:cs="Times New Roman"/>
          <w:lang w:val="de-DE"/>
        </w:rPr>
        <w:t>, Martina, JIRMANOV</w:t>
      </w:r>
      <w:r w:rsidRPr="00D16E75">
        <w:rPr>
          <w:rFonts w:cs="Times New Roman"/>
        </w:rPr>
        <w:t>Á, Miroslava. § 59 []. In: KASÍKOVÁ</w:t>
      </w:r>
      <w:r w:rsidRPr="00D16E75">
        <w:rPr>
          <w:rFonts w:cs="Times New Roman"/>
          <w:lang w:val="de-DE"/>
        </w:rPr>
        <w:t>, Martina, JIRMANOV</w:t>
      </w:r>
      <w:r w:rsidRPr="00D16E75">
        <w:rPr>
          <w:rFonts w:cs="Times New Roman"/>
        </w:rPr>
        <w:t>Á, Miroslava, HUBÁČEK, Jaroslav, PLÁŠIL, Vladimír, Š</w:t>
      </w:r>
      <w:r w:rsidRPr="00D16E75">
        <w:rPr>
          <w:rFonts w:cs="Times New Roman"/>
          <w:lang w:val="de-DE"/>
        </w:rPr>
        <w:t>IMKA, Karel, KU</w:t>
      </w:r>
      <w:r w:rsidRPr="00D16E75">
        <w:rPr>
          <w:rFonts w:cs="Times New Roman"/>
        </w:rPr>
        <w:t>ČERA, Zdeně</w:t>
      </w:r>
      <w:r w:rsidRPr="00D16E75">
        <w:rPr>
          <w:rFonts w:cs="Times New Roman"/>
          <w:lang w:val="de-DE"/>
        </w:rPr>
        <w:t>k, NEKOLA, V</w:t>
      </w:r>
      <w:r w:rsidRPr="00D16E75">
        <w:rPr>
          <w:rFonts w:cs="Times New Roman"/>
        </w:rPr>
        <w:t xml:space="preserve">áclav. Exekuční řád. 4. vydání. Praha: Nakladatelství </w:t>
      </w:r>
      <w:r w:rsidRPr="00D16E75">
        <w:rPr>
          <w:rFonts w:cs="Times New Roman"/>
          <w:lang w:val="pt-PT"/>
        </w:rPr>
        <w:t>C. H. Beck, 2017, s. 437.</w:t>
      </w:r>
    </w:p>
  </w:footnote>
  <w:footnote w:id="89">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lang w:val="de-DE"/>
        </w:rPr>
        <w:t>SCHELLEOV</w:t>
      </w:r>
      <w:r w:rsidR="00D16E75" w:rsidRPr="00D16E75">
        <w:rPr>
          <w:rStyle w:val="dn"/>
          <w:rFonts w:cs="Times New Roman"/>
        </w:rPr>
        <w:t>Á, Ilona. Exekuční řízení. Vyd. 1. Praha: Eurolex Bohemia, 2005, s. 221, ISBN 80-86861-46-5.</w:t>
      </w:r>
    </w:p>
  </w:footnote>
  <w:footnote w:id="90">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dle §9 EŘ</w:t>
      </w:r>
    </w:p>
  </w:footnote>
  <w:footnote w:id="91">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lang w:val="de-DE"/>
        </w:rPr>
        <w:t>SCHELLEOV</w:t>
      </w:r>
      <w:r w:rsidR="00D16E75" w:rsidRPr="00D16E75">
        <w:rPr>
          <w:rStyle w:val="dn"/>
          <w:rFonts w:cs="Times New Roman"/>
        </w:rPr>
        <w:t>Á, Ilona. Exekuční řízení. Vyd. 1. Praha: Eurolex Bohemia, 2005, s. 225-227, ISBN 80-86861-46-5.</w:t>
      </w:r>
    </w:p>
  </w:footnote>
  <w:footnote w:id="92">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 xml:space="preserve">Kdo je soudní </w:t>
      </w:r>
      <w:r w:rsidR="00D16E75" w:rsidRPr="00D16E75">
        <w:rPr>
          <w:rFonts w:cs="Times New Roman"/>
          <w:lang w:val="pt-PT"/>
        </w:rPr>
        <w:t>exekutor? [online]. [cit. 2019-0</w:t>
      </w:r>
      <w:r w:rsidR="00D16E75" w:rsidRPr="00D16E75">
        <w:rPr>
          <w:rFonts w:cs="Times New Roman"/>
        </w:rPr>
        <w:t>8-20]. Dostupn</w:t>
      </w:r>
      <w:r w:rsidR="00D16E75" w:rsidRPr="00D16E75">
        <w:rPr>
          <w:rFonts w:cs="Times New Roman"/>
          <w:lang w:val="fr-FR"/>
        </w:rPr>
        <w:t xml:space="preserve">é </w:t>
      </w:r>
      <w:r w:rsidR="00D16E75" w:rsidRPr="00D16E75">
        <w:rPr>
          <w:rFonts w:cs="Times New Roman"/>
        </w:rPr>
        <w:t>z: https://www.ekcr.cz/1/exekutori-radi/789-5-kdo-je-soudni-exekutor?w=</w:t>
      </w:r>
    </w:p>
  </w:footnote>
  <w:footnote w:id="93">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lang w:val="de-DE"/>
        </w:rPr>
        <w:t>SCHELLEOV</w:t>
      </w:r>
      <w:r w:rsidR="00D16E75" w:rsidRPr="00D16E75">
        <w:rPr>
          <w:rStyle w:val="dn"/>
          <w:rFonts w:cs="Times New Roman"/>
        </w:rPr>
        <w:t>Á, Ilona. Exekuční řízení. Vyd. 1. Praha: Eurolex Bohemia, 2005, s. 222, ISBN 80-86861-46-5.</w:t>
      </w:r>
    </w:p>
  </w:footnote>
  <w:footnote w:id="94">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dle §109 EŘ</w:t>
      </w:r>
    </w:p>
  </w:footnote>
  <w:footnote w:id="95">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áclav. § 110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676.</w:t>
      </w:r>
    </w:p>
  </w:footnote>
  <w:footnote w:id="96">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áclav. § 110 []. In: 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 xml:space="preserve">áclav. Exekuční řád. 4. vydání. Praha: Nakladatelství </w:t>
      </w:r>
      <w:r w:rsidR="00D16E75" w:rsidRPr="00D16E75">
        <w:rPr>
          <w:rFonts w:cs="Times New Roman"/>
          <w:lang w:val="pt-PT"/>
        </w:rPr>
        <w:t>C. H. Beck, 2017, s. 676.</w:t>
      </w:r>
    </w:p>
  </w:footnote>
  <w:footnote w:id="97">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Tamtéž</w:t>
      </w:r>
    </w:p>
  </w:footnote>
  <w:footnote w:id="98">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áclav. § 111 []. In: KASÍKOVÁ</w:t>
      </w:r>
      <w:r w:rsidR="00D16E75" w:rsidRPr="00D16E75">
        <w:rPr>
          <w:rStyle w:val="dn"/>
          <w:rFonts w:cs="Times New Roman"/>
          <w:lang w:val="de-DE"/>
        </w:rPr>
        <w:t>, Martina,</w:t>
      </w:r>
      <w:r w:rsidR="00D16E75" w:rsidRPr="00D16E75">
        <w:rPr>
          <w:rFonts w:cs="Times New Roman"/>
          <w:lang w:val="de-DE"/>
        </w:rPr>
        <w:t xml:space="preserve"> </w:t>
      </w:r>
      <w:r w:rsidR="00D16E75" w:rsidRPr="00D16E75">
        <w:rPr>
          <w:rStyle w:val="dn"/>
          <w:rFonts w:cs="Times New Roman"/>
          <w:lang w:val="de-DE"/>
        </w:rPr>
        <w:t>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681.</w:t>
      </w:r>
    </w:p>
  </w:footnote>
  <w:footnote w:id="99">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Tamtéž</w:t>
      </w:r>
    </w:p>
  </w:footnote>
  <w:footnote w:id="100">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Fonts w:cs="Times New Roman"/>
        </w:rPr>
        <w:t xml:space="preserve"> § 112 []. In: 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 xml:space="preserve">áclav. Exekuční řád. 4. vydání. Praha: Nakladatelství </w:t>
      </w:r>
      <w:r w:rsidR="00D16E75" w:rsidRPr="00D16E75">
        <w:rPr>
          <w:rFonts w:cs="Times New Roman"/>
          <w:lang w:val="pt-PT"/>
        </w:rPr>
        <w:t>C. H. Beck, 2017, s. 687.)</w:t>
      </w:r>
    </w:p>
  </w:footnote>
  <w:footnote w:id="101">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á</w:t>
      </w:r>
      <w:r w:rsidR="00D16E75" w:rsidRPr="00D16E75">
        <w:rPr>
          <w:rStyle w:val="dn"/>
          <w:rFonts w:cs="Times New Roman"/>
          <w:lang w:val="es-ES_tradnl"/>
        </w:rPr>
        <w:t>clav</w:t>
      </w:r>
      <w:r w:rsidR="00D16E75" w:rsidRPr="00D16E75">
        <w:rPr>
          <w:rStyle w:val="dn"/>
          <w:rFonts w:cs="Times New Roman"/>
        </w:rPr>
        <w:t xml:space="preserve"> § 112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02">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Style w:val="dn"/>
          <w:rFonts w:cs="Times New Roman"/>
        </w:rPr>
        <w:t>§ 113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03">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Tamtéž</w:t>
      </w:r>
    </w:p>
  </w:footnote>
  <w:footnote w:id="104">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á</w:t>
      </w:r>
      <w:r w:rsidR="00D16E75" w:rsidRPr="00D16E75">
        <w:rPr>
          <w:rStyle w:val="dn"/>
          <w:rFonts w:cs="Times New Roman"/>
          <w:lang w:val="es-ES_tradnl"/>
        </w:rPr>
        <w:t>clav</w:t>
      </w:r>
      <w:r w:rsidR="00D16E75" w:rsidRPr="00D16E75">
        <w:rPr>
          <w:rStyle w:val="dn"/>
          <w:rFonts w:cs="Times New Roman"/>
        </w:rPr>
        <w:t>§ 113a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05">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Tamtéž</w:t>
      </w:r>
    </w:p>
  </w:footnote>
  <w:footnote w:id="106">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Fonts w:cs="Times New Roman"/>
        </w:rPr>
        <w:t xml:space="preserve"> </w:t>
      </w:r>
      <w:r w:rsidR="00D16E75" w:rsidRPr="00D16E75">
        <w:rPr>
          <w:rStyle w:val="dn"/>
          <w:rFonts w:cs="Times New Roman"/>
        </w:rPr>
        <w:t>§ 114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07">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Tamtéž</w:t>
      </w:r>
    </w:p>
  </w:footnote>
  <w:footnote w:id="108">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Fonts w:cs="Times New Roman"/>
        </w:rPr>
        <w:t xml:space="preserve"> </w:t>
      </w:r>
      <w:r w:rsidR="00D16E75" w:rsidRPr="00D16E75">
        <w:rPr>
          <w:rStyle w:val="dn"/>
          <w:rFonts w:cs="Times New Roman"/>
        </w:rPr>
        <w:t>§ 115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09">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Fonts w:cs="Times New Roman"/>
        </w:rPr>
        <w:t xml:space="preserve"> </w:t>
      </w:r>
      <w:r w:rsidR="00D16E75" w:rsidRPr="00D16E75">
        <w:rPr>
          <w:rStyle w:val="dn"/>
          <w:rFonts w:cs="Times New Roman"/>
        </w:rPr>
        <w:t>§ 115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10">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Tamtéž</w:t>
      </w:r>
    </w:p>
  </w:footnote>
  <w:footnote w:id="111">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KASÍKOVÁ</w:t>
      </w:r>
      <w:r w:rsidR="00D16E75" w:rsidRPr="00D16E75">
        <w:rPr>
          <w:rFonts w:cs="Times New Roman"/>
          <w:lang w:val="de-DE"/>
        </w:rPr>
        <w:t>, Martina, JIRMANOV</w:t>
      </w:r>
      <w:r w:rsidR="00D16E75" w:rsidRPr="00D16E75">
        <w:rPr>
          <w:rFonts w:cs="Times New Roman"/>
        </w:rPr>
        <w:t>Á, Miroslava, HUBÁČEK, Jaroslav, PLÁŠIL, Vladimír, Š</w:t>
      </w:r>
      <w:r w:rsidR="00D16E75" w:rsidRPr="00D16E75">
        <w:rPr>
          <w:rFonts w:cs="Times New Roman"/>
          <w:lang w:val="de-DE"/>
        </w:rPr>
        <w:t>IMKA, Karel, KU</w:t>
      </w:r>
      <w:r w:rsidR="00D16E75" w:rsidRPr="00D16E75">
        <w:rPr>
          <w:rFonts w:cs="Times New Roman"/>
        </w:rPr>
        <w:t>ČERA, Zdeně</w:t>
      </w:r>
      <w:r w:rsidR="00D16E75" w:rsidRPr="00D16E75">
        <w:rPr>
          <w:rFonts w:cs="Times New Roman"/>
          <w:lang w:val="de-DE"/>
        </w:rPr>
        <w:t>k, NEKOLA, V</w:t>
      </w:r>
      <w:r w:rsidR="00D16E75" w:rsidRPr="00D16E75">
        <w:rPr>
          <w:rFonts w:cs="Times New Roman"/>
        </w:rPr>
        <w:t>á</w:t>
      </w:r>
      <w:r w:rsidR="00D16E75" w:rsidRPr="00D16E75">
        <w:rPr>
          <w:rFonts w:cs="Times New Roman"/>
          <w:lang w:val="es-ES_tradnl"/>
        </w:rPr>
        <w:t>clav</w:t>
      </w:r>
      <w:r w:rsidR="00D16E75" w:rsidRPr="00D16E75">
        <w:rPr>
          <w:rFonts w:cs="Times New Roman"/>
        </w:rPr>
        <w:t xml:space="preserve"> </w:t>
      </w:r>
      <w:r w:rsidR="00D16E75" w:rsidRPr="00D16E75">
        <w:rPr>
          <w:rStyle w:val="dn"/>
          <w:rFonts w:cs="Times New Roman"/>
        </w:rPr>
        <w:t>§ 115a []. In: KASÍKOVÁ</w:t>
      </w:r>
      <w:r w:rsidR="00D16E75" w:rsidRPr="00D16E75">
        <w:rPr>
          <w:rStyle w:val="dn"/>
          <w:rFonts w:cs="Times New Roman"/>
          <w:lang w:val="de-DE"/>
        </w:rPr>
        <w:t>, Martina, JIRMANOV</w:t>
      </w:r>
      <w:r w:rsidR="00D16E75" w:rsidRPr="00D16E75">
        <w:rPr>
          <w:rStyle w:val="dn"/>
          <w:rFonts w:cs="Times New Roman"/>
        </w:rPr>
        <w:t>Á, Miroslava, HUBÁČEK, Jaroslav, PLÁŠIL, Vladimír, Š</w:t>
      </w:r>
      <w:r w:rsidR="00D16E75" w:rsidRPr="00D16E75">
        <w:rPr>
          <w:rStyle w:val="dn"/>
          <w:rFonts w:cs="Times New Roman"/>
          <w:lang w:val="de-DE"/>
        </w:rPr>
        <w:t>IMKA, Karel, KU</w:t>
      </w:r>
      <w:r w:rsidR="00D16E75" w:rsidRPr="00D16E75">
        <w:rPr>
          <w:rStyle w:val="dn"/>
          <w:rFonts w:cs="Times New Roman"/>
        </w:rPr>
        <w:t>ČERA, Zdeně</w:t>
      </w:r>
      <w:r w:rsidR="00D16E75" w:rsidRPr="00D16E75">
        <w:rPr>
          <w:rStyle w:val="dn"/>
          <w:rFonts w:cs="Times New Roman"/>
          <w:lang w:val="de-DE"/>
        </w:rPr>
        <w:t>k, NEKOLA, V</w:t>
      </w:r>
      <w:r w:rsidR="00D16E75" w:rsidRPr="00D16E75">
        <w:rPr>
          <w:rStyle w:val="dn"/>
          <w:rFonts w:cs="Times New Roman"/>
        </w:rPr>
        <w:t xml:space="preserve">áclav. Exekuční řád. 4. vydání. Praha: Nakladatelství </w:t>
      </w:r>
      <w:r w:rsidR="00D16E75" w:rsidRPr="00D16E75">
        <w:rPr>
          <w:rStyle w:val="dn"/>
          <w:rFonts w:cs="Times New Roman"/>
          <w:lang w:val="pt-PT"/>
        </w:rPr>
        <w:t>C. H. Beck, 2017, s. 687.)</w:t>
      </w:r>
    </w:p>
  </w:footnote>
  <w:footnote w:id="112">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Tamtéž</w:t>
      </w:r>
    </w:p>
  </w:footnote>
  <w:footnote w:id="113">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 xml:space="preserve">WOLFOVÁ, Jitka a Martin ŠTIKA. Soudní exekuce. Praha: Wolters Kluwer, 2016. s.54, Právní </w:t>
      </w:r>
      <w:r w:rsidR="00D16E75" w:rsidRPr="00D16E75">
        <w:rPr>
          <w:rStyle w:val="dn"/>
          <w:rFonts w:cs="Times New Roman"/>
          <w:lang w:val="de-DE"/>
        </w:rPr>
        <w:t xml:space="preserve">monografie (Wolters Kluwer </w:t>
      </w:r>
      <w:r w:rsidR="00D16E75" w:rsidRPr="00D16E75">
        <w:rPr>
          <w:rStyle w:val="dn"/>
          <w:rFonts w:cs="Times New Roman"/>
        </w:rPr>
        <w:t>ČR). ISBN 978-80-7552-427-0.</w:t>
      </w:r>
    </w:p>
  </w:footnote>
  <w:footnote w:id="114">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Dohled - právní ú</w:t>
      </w:r>
      <w:r w:rsidR="00D16E75" w:rsidRPr="00D16E75">
        <w:rPr>
          <w:rFonts w:cs="Times New Roman"/>
          <w:lang w:val="pt-PT"/>
        </w:rPr>
        <w:t>prava [online]. [cit. 2019</w:t>
      </w:r>
      <w:r w:rsidR="00D16E75" w:rsidRPr="00D16E75">
        <w:rPr>
          <w:rFonts w:cs="Times New Roman"/>
        </w:rPr>
        <w:t>-08–20]. Dostupn</w:t>
      </w:r>
      <w:r w:rsidR="00D16E75" w:rsidRPr="00D16E75">
        <w:rPr>
          <w:rFonts w:cs="Times New Roman"/>
          <w:lang w:val="fr-FR"/>
        </w:rPr>
        <w:t xml:space="preserve">é </w:t>
      </w:r>
      <w:r w:rsidR="00D16E75" w:rsidRPr="00D16E75">
        <w:rPr>
          <w:rFonts w:cs="Times New Roman"/>
        </w:rPr>
        <w:t>z: https://www.ekcr.cz/1/nejcastejsi-dotazy/694-dohled-pravni-uprava?w=</w:t>
      </w:r>
    </w:p>
  </w:footnote>
  <w:footnote w:id="115">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 xml:space="preserve">WOLFOVÁ, Jitka a Martin ŠTIKA. Soudní exekuce. Praha: Wolters Kluwer, 2016. s.54-55, Právní </w:t>
      </w:r>
      <w:r w:rsidR="00D16E75" w:rsidRPr="00D16E75">
        <w:rPr>
          <w:rFonts w:cs="Times New Roman"/>
          <w:lang w:val="de-DE"/>
        </w:rPr>
        <w:t xml:space="preserve">monografie (Wolters Kluwer </w:t>
      </w:r>
      <w:r w:rsidR="00D16E75" w:rsidRPr="00D16E75">
        <w:rPr>
          <w:rFonts w:cs="Times New Roman"/>
        </w:rPr>
        <w:t>ČR). ISBN 978-80-7552-427-0.</w:t>
      </w:r>
    </w:p>
  </w:footnote>
  <w:footnote w:id="116">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Místní příslušnost exekutorů, tzv. teritorialita [online]. [cit. 2019-08-26]. Dostupn</w:t>
      </w:r>
      <w:r w:rsidR="00D16E75" w:rsidRPr="00D16E75">
        <w:rPr>
          <w:rFonts w:cs="Times New Roman"/>
          <w:lang w:val="fr-FR"/>
        </w:rPr>
        <w:t xml:space="preserve">é </w:t>
      </w:r>
      <w:r w:rsidR="00D16E75" w:rsidRPr="00D16E75">
        <w:rPr>
          <w:rFonts w:cs="Times New Roman"/>
        </w:rPr>
        <w:t>z: http://mapaexekuci.cz/index.php/co-s-tim/teritorialita/</w:t>
      </w:r>
    </w:p>
  </w:footnote>
  <w:footnote w:id="117">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rPr>
        <w:t>BÁČ</w:t>
      </w:r>
      <w:r w:rsidR="00D16E75" w:rsidRPr="00D16E75">
        <w:rPr>
          <w:rFonts w:cs="Times New Roman"/>
          <w:lang w:val="nl-NL"/>
        </w:rPr>
        <w:t>OV</w:t>
      </w:r>
      <w:r w:rsidR="00D16E75" w:rsidRPr="00D16E75">
        <w:rPr>
          <w:rFonts w:cs="Times New Roman"/>
        </w:rPr>
        <w:t>Á, Petra. Exekutorská komora podporuje místní přísluš</w:t>
      </w:r>
      <w:r w:rsidR="00D16E75" w:rsidRPr="00D16E75">
        <w:rPr>
          <w:rFonts w:cs="Times New Roman"/>
          <w:lang w:val="pt-PT"/>
        </w:rPr>
        <w:t>nost [online]. 27.05.2014 [cit. 2019-</w:t>
      </w:r>
      <w:r w:rsidR="00D16E75" w:rsidRPr="00D16E75">
        <w:rPr>
          <w:rFonts w:cs="Times New Roman"/>
        </w:rPr>
        <w:t>07-23]. Dostupn</w:t>
      </w:r>
      <w:r w:rsidR="00D16E75" w:rsidRPr="00D16E75">
        <w:rPr>
          <w:rFonts w:cs="Times New Roman"/>
          <w:lang w:val="fr-FR"/>
        </w:rPr>
        <w:t xml:space="preserve">é </w:t>
      </w:r>
      <w:r w:rsidR="00D16E75" w:rsidRPr="00D16E75">
        <w:rPr>
          <w:rFonts w:cs="Times New Roman"/>
        </w:rPr>
        <w:t>z: https://www.ekcr.cz/1/aktuality-pro-media/1615-exekutorska-komora-podporuje-mistni-prislusnost-27-05-2014?w=</w:t>
      </w:r>
    </w:p>
  </w:footnote>
  <w:footnote w:id="118">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lang w:val="de-DE"/>
        </w:rPr>
        <w:t>KOL</w:t>
      </w:r>
      <w:r w:rsidR="00D16E75" w:rsidRPr="00D16E75">
        <w:rPr>
          <w:rFonts w:cs="Times New Roman"/>
        </w:rPr>
        <w:t>ÁŘ</w:t>
      </w:r>
      <w:r w:rsidR="00D16E75" w:rsidRPr="00D16E75">
        <w:rPr>
          <w:rFonts w:cs="Times New Roman"/>
          <w:lang w:val="nl-NL"/>
        </w:rPr>
        <w:t>OV</w:t>
      </w:r>
      <w:r w:rsidR="00D16E75" w:rsidRPr="00D16E75">
        <w:rPr>
          <w:rFonts w:cs="Times New Roman"/>
        </w:rPr>
        <w:t>Á, Kateř</w:t>
      </w:r>
      <w:r w:rsidR="00D16E75" w:rsidRPr="00D16E75">
        <w:rPr>
          <w:rFonts w:cs="Times New Roman"/>
          <w:lang w:val="pt-PT"/>
        </w:rPr>
        <w:t xml:space="preserve">ina. CO </w:t>
      </w:r>
      <w:r w:rsidR="00D16E75" w:rsidRPr="00D16E75">
        <w:rPr>
          <w:rFonts w:cs="Times New Roman"/>
        </w:rPr>
        <w:t>Č</w:t>
      </w:r>
      <w:r w:rsidR="00D16E75" w:rsidRPr="00D16E75">
        <w:rPr>
          <w:rFonts w:cs="Times New Roman"/>
          <w:lang w:val="de-DE"/>
        </w:rPr>
        <w:t>EK</w:t>
      </w:r>
      <w:r w:rsidR="00D16E75" w:rsidRPr="00D16E75">
        <w:rPr>
          <w:rFonts w:cs="Times New Roman"/>
        </w:rPr>
        <w:t>Á Č</w:t>
      </w:r>
      <w:r w:rsidR="00D16E75" w:rsidRPr="00D16E75">
        <w:rPr>
          <w:rFonts w:cs="Times New Roman"/>
          <w:lang w:val="pt-PT"/>
        </w:rPr>
        <w:t>ESK</w:t>
      </w:r>
      <w:r w:rsidR="00D16E75" w:rsidRPr="00D16E75">
        <w:rPr>
          <w:rFonts w:cs="Times New Roman"/>
          <w:lang w:val="fr-FR"/>
        </w:rPr>
        <w:t>É</w:t>
      </w:r>
      <w:r w:rsidR="00D16E75" w:rsidRPr="00D16E75">
        <w:rPr>
          <w:rFonts w:cs="Times New Roman"/>
          <w:lang w:val="de-DE"/>
        </w:rPr>
        <w:t>HO DLU</w:t>
      </w:r>
      <w:r w:rsidR="00D16E75" w:rsidRPr="00D16E75">
        <w:rPr>
          <w:rFonts w:cs="Times New Roman"/>
        </w:rPr>
        <w:t>ŽNÍ</w:t>
      </w:r>
      <w:r w:rsidR="00D16E75" w:rsidRPr="00D16E75">
        <w:rPr>
          <w:rFonts w:cs="Times New Roman"/>
          <w:lang w:val="pt-PT"/>
        </w:rPr>
        <w:t>KA? [online]. 18.2.2019 [cit. 2019-0</w:t>
      </w:r>
      <w:r w:rsidR="00D16E75" w:rsidRPr="00D16E75">
        <w:rPr>
          <w:rFonts w:cs="Times New Roman"/>
        </w:rPr>
        <w:t>7-26]. Dostupn</w:t>
      </w:r>
      <w:r w:rsidR="00D16E75" w:rsidRPr="00D16E75">
        <w:rPr>
          <w:rFonts w:cs="Times New Roman"/>
          <w:lang w:val="fr-FR"/>
        </w:rPr>
        <w:t xml:space="preserve">é </w:t>
      </w:r>
      <w:r w:rsidR="00D16E75" w:rsidRPr="00D16E75">
        <w:rPr>
          <w:rFonts w:cs="Times New Roman"/>
        </w:rPr>
        <w:t xml:space="preserve">z: </w:t>
      </w:r>
      <w:hyperlink r:id="rId2" w:history="1">
        <w:r w:rsidR="00D16E75" w:rsidRPr="00D16E75">
          <w:rPr>
            <w:rStyle w:val="Odkaz"/>
            <w:rFonts w:cs="Times New Roman"/>
            <w:lang w:val="en-US"/>
          </w:rPr>
          <w:t>https://www.cak.cz/scripts/detail.php?id=20169</w:t>
        </w:r>
      </w:hyperlink>
    </w:p>
  </w:footnote>
  <w:footnote w:id="119">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Fonts w:cs="Times New Roman"/>
          <w:lang w:val="de-DE"/>
        </w:rPr>
        <w:t>KOL</w:t>
      </w:r>
      <w:r w:rsidR="00D16E75" w:rsidRPr="00D16E75">
        <w:rPr>
          <w:rFonts w:cs="Times New Roman"/>
        </w:rPr>
        <w:t>ÁŘ</w:t>
      </w:r>
      <w:r w:rsidR="00D16E75" w:rsidRPr="00D16E75">
        <w:rPr>
          <w:rFonts w:cs="Times New Roman"/>
          <w:lang w:val="nl-NL"/>
        </w:rPr>
        <w:t>OV</w:t>
      </w:r>
      <w:r w:rsidR="00D16E75" w:rsidRPr="00D16E75">
        <w:rPr>
          <w:rFonts w:cs="Times New Roman"/>
        </w:rPr>
        <w:t>Á, Kateř</w:t>
      </w:r>
      <w:r w:rsidR="00D16E75" w:rsidRPr="00D16E75">
        <w:rPr>
          <w:rFonts w:cs="Times New Roman"/>
          <w:lang w:val="pt-PT"/>
        </w:rPr>
        <w:t xml:space="preserve">ina. CO </w:t>
      </w:r>
      <w:r w:rsidR="00D16E75" w:rsidRPr="00D16E75">
        <w:rPr>
          <w:rFonts w:cs="Times New Roman"/>
        </w:rPr>
        <w:t>Č</w:t>
      </w:r>
      <w:r w:rsidR="00D16E75" w:rsidRPr="00D16E75">
        <w:rPr>
          <w:rFonts w:cs="Times New Roman"/>
          <w:lang w:val="de-DE"/>
        </w:rPr>
        <w:t>EK</w:t>
      </w:r>
      <w:r w:rsidR="00D16E75" w:rsidRPr="00D16E75">
        <w:rPr>
          <w:rFonts w:cs="Times New Roman"/>
        </w:rPr>
        <w:t>Á Č</w:t>
      </w:r>
      <w:r w:rsidR="00D16E75" w:rsidRPr="00D16E75">
        <w:rPr>
          <w:rFonts w:cs="Times New Roman"/>
          <w:lang w:val="pt-PT"/>
        </w:rPr>
        <w:t>ESK</w:t>
      </w:r>
      <w:r w:rsidR="00D16E75" w:rsidRPr="00D16E75">
        <w:rPr>
          <w:rFonts w:cs="Times New Roman"/>
          <w:lang w:val="fr-FR"/>
        </w:rPr>
        <w:t>É</w:t>
      </w:r>
      <w:r w:rsidR="00D16E75" w:rsidRPr="00D16E75">
        <w:rPr>
          <w:rFonts w:cs="Times New Roman"/>
          <w:lang w:val="de-DE"/>
        </w:rPr>
        <w:t>HO DLU</w:t>
      </w:r>
      <w:r w:rsidR="00D16E75" w:rsidRPr="00D16E75">
        <w:rPr>
          <w:rFonts w:cs="Times New Roman"/>
        </w:rPr>
        <w:t>ŽNÍ</w:t>
      </w:r>
      <w:r w:rsidR="00D16E75" w:rsidRPr="00D16E75">
        <w:rPr>
          <w:rFonts w:cs="Times New Roman"/>
          <w:lang w:val="pt-PT"/>
        </w:rPr>
        <w:t>KA? [online]. 18.2.2019 [cit. 2019-0</w:t>
      </w:r>
      <w:r w:rsidR="00D16E75" w:rsidRPr="00D16E75">
        <w:rPr>
          <w:rFonts w:cs="Times New Roman"/>
        </w:rPr>
        <w:t>7-26]. Dostupn</w:t>
      </w:r>
      <w:r w:rsidR="00D16E75" w:rsidRPr="00D16E75">
        <w:rPr>
          <w:rFonts w:cs="Times New Roman"/>
          <w:lang w:val="fr-FR"/>
        </w:rPr>
        <w:t xml:space="preserve">é </w:t>
      </w:r>
      <w:r w:rsidR="00D16E75" w:rsidRPr="00D16E75">
        <w:rPr>
          <w:rFonts w:cs="Times New Roman"/>
        </w:rPr>
        <w:t xml:space="preserve">z: </w:t>
      </w:r>
      <w:hyperlink r:id="rId3" w:history="1">
        <w:r w:rsidR="00D16E75" w:rsidRPr="00D16E75">
          <w:rPr>
            <w:rStyle w:val="Odkaz"/>
            <w:rFonts w:cs="Times New Roman"/>
            <w:lang w:val="en-US"/>
          </w:rPr>
          <w:t>https://www.cak.cz/scripts/detail.php?id=20169</w:t>
        </w:r>
      </w:hyperlink>
    </w:p>
  </w:footnote>
  <w:footnote w:id="120">
    <w:p w:rsidR="00D3290D" w:rsidRPr="00D16E75" w:rsidRDefault="00D3290D" w:rsidP="00D16E75">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Místní příslušnost exekutorů, tzv. teritorialita. Mapa exekucí </w:t>
      </w:r>
      <w:r w:rsidRPr="00D16E75">
        <w:rPr>
          <w:rFonts w:cs="Times New Roman"/>
          <w:lang w:val="pt-PT"/>
        </w:rPr>
        <w:t>[online]. [cit. 2019-08-</w:t>
      </w:r>
      <w:r w:rsidRPr="00D16E75">
        <w:rPr>
          <w:rFonts w:cs="Times New Roman"/>
        </w:rPr>
        <w:t>20]. Dostupn</w:t>
      </w:r>
      <w:r w:rsidRPr="00D16E75">
        <w:rPr>
          <w:rFonts w:cs="Times New Roman"/>
          <w:lang w:val="fr-FR"/>
        </w:rPr>
        <w:t xml:space="preserve">é </w:t>
      </w:r>
      <w:r w:rsidRPr="00D16E75">
        <w:rPr>
          <w:rFonts w:cs="Times New Roman"/>
        </w:rPr>
        <w:t>z: http://mapaexekuci.cz/index.php/co-s-tim/teritorialita/</w:t>
      </w:r>
    </w:p>
  </w:footnote>
  <w:footnote w:id="121">
    <w:p w:rsidR="00D3290D" w:rsidRPr="00D16E75" w:rsidRDefault="00D3290D" w:rsidP="00D16E75">
      <w:pPr>
        <w:pStyle w:val="Textpoznpodarou"/>
        <w:spacing w:line="240" w:lineRule="auto"/>
        <w:ind w:firstLine="0"/>
        <w:rPr>
          <w:rFonts w:cs="Times New Roman"/>
        </w:rPr>
      </w:pPr>
      <w:r w:rsidRPr="00D16E75">
        <w:rPr>
          <w:rStyle w:val="Znakapoznpodarou"/>
          <w:rFonts w:cs="Times New Roman"/>
        </w:rPr>
        <w:footnoteRef/>
      </w:r>
      <w:r w:rsidRPr="00D16E75">
        <w:rPr>
          <w:rFonts w:cs="Times New Roman"/>
        </w:rPr>
        <w:t xml:space="preserve"> Místní příslušnost exekutorů, tzv. teritorialita. Mapa exekucí </w:t>
      </w:r>
      <w:r w:rsidRPr="00D16E75">
        <w:rPr>
          <w:rFonts w:cs="Times New Roman"/>
          <w:lang w:val="pt-PT"/>
        </w:rPr>
        <w:t>[online]. [cit. 2019-08-</w:t>
      </w:r>
      <w:r w:rsidRPr="00D16E75">
        <w:rPr>
          <w:rFonts w:cs="Times New Roman"/>
        </w:rPr>
        <w:t>20]. Dostupn</w:t>
      </w:r>
      <w:r w:rsidRPr="00D16E75">
        <w:rPr>
          <w:rFonts w:cs="Times New Roman"/>
          <w:lang w:val="fr-FR"/>
        </w:rPr>
        <w:t xml:space="preserve">é </w:t>
      </w:r>
      <w:r w:rsidRPr="00D16E75">
        <w:rPr>
          <w:rFonts w:cs="Times New Roman"/>
        </w:rPr>
        <w:t>z: http://mapaexekuci.cz/index.php/co-s-tim/teritorialita/</w:t>
      </w:r>
    </w:p>
  </w:footnote>
  <w:footnote w:id="122">
    <w:p w:rsidR="00D3290D" w:rsidRPr="00D16E75" w:rsidRDefault="00D3290D" w:rsidP="00990022">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Komorní listy: časopis soudních exekutorů. Brno: Exekutorská komora Česk</w:t>
      </w:r>
      <w:r w:rsidRPr="00D16E75">
        <w:rPr>
          <w:rFonts w:cs="Times New Roman"/>
          <w:lang w:val="fr-FR"/>
        </w:rPr>
        <w:t xml:space="preserve">é </w:t>
      </w:r>
      <w:r w:rsidRPr="00D16E75">
        <w:rPr>
          <w:rFonts w:cs="Times New Roman"/>
        </w:rPr>
        <w:t>republiky, 2009-. ISSN 1805-1081.</w:t>
      </w:r>
    </w:p>
  </w:footnote>
  <w:footnote w:id="123">
    <w:p w:rsidR="00D3290D" w:rsidRPr="00D16E75" w:rsidRDefault="00D3290D" w:rsidP="00990022">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Místní příslušnost exekutorů, tzv. teritorialita. Mapa exekucí </w:t>
      </w:r>
      <w:r w:rsidRPr="00D16E75">
        <w:rPr>
          <w:rFonts w:cs="Times New Roman"/>
          <w:lang w:val="pt-PT"/>
        </w:rPr>
        <w:t>[online]. [cit. 2019-08-</w:t>
      </w:r>
      <w:r w:rsidRPr="00D16E75">
        <w:rPr>
          <w:rFonts w:cs="Times New Roman"/>
        </w:rPr>
        <w:t>20]. Dostupn</w:t>
      </w:r>
      <w:r w:rsidRPr="00D16E75">
        <w:rPr>
          <w:rFonts w:cs="Times New Roman"/>
          <w:lang w:val="fr-FR"/>
        </w:rPr>
        <w:t xml:space="preserve">é </w:t>
      </w:r>
      <w:r w:rsidRPr="00D16E75">
        <w:rPr>
          <w:rFonts w:cs="Times New Roman"/>
        </w:rPr>
        <w:t>z: http://mapaexekuci.cz/index.php/co-s-tim/teritorialita/</w:t>
      </w:r>
    </w:p>
  </w:footnote>
  <w:footnote w:id="124">
    <w:p w:rsidR="00D3290D" w:rsidRPr="00D16E75" w:rsidRDefault="00D3290D" w:rsidP="00990022">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SOBÍŠKOVÁ, Zuzana. Příloha č. 1: Argumenty proti zavedení místní příslušnosti exekutorů a zrušení práva volby exekutora oprávněným.</w:t>
      </w:r>
    </w:p>
  </w:footnote>
  <w:footnote w:id="125">
    <w:p w:rsidR="00D16E75" w:rsidRDefault="00D16E75" w:rsidP="00990022">
      <w:pPr>
        <w:pStyle w:val="Textpoznpodarou"/>
        <w:spacing w:line="240" w:lineRule="auto"/>
        <w:ind w:firstLine="0"/>
      </w:pPr>
      <w:r>
        <w:rPr>
          <w:rStyle w:val="Znakapoznpodarou"/>
        </w:rPr>
        <w:footnoteRef/>
      </w:r>
      <w:r>
        <w:t xml:space="preserve"> </w:t>
      </w:r>
      <w:r w:rsidR="00990022" w:rsidRPr="00D16E75">
        <w:rPr>
          <w:rStyle w:val="dn"/>
          <w:rFonts w:cs="Times New Roman"/>
        </w:rPr>
        <w:t>SOBÍŠKOVÁ, Zuzana. Příloha č. 1: Argumenty proti zavedení místní příslušnosti exekutorů a zrušení práva volby exekutora oprávněným.</w:t>
      </w:r>
    </w:p>
  </w:footnote>
  <w:footnote w:id="126">
    <w:p w:rsidR="00990022" w:rsidRDefault="00990022" w:rsidP="00990022">
      <w:pPr>
        <w:pStyle w:val="Textpoznpodarou"/>
        <w:spacing w:line="240" w:lineRule="auto"/>
        <w:ind w:firstLine="0"/>
      </w:pPr>
      <w:r>
        <w:rPr>
          <w:rStyle w:val="Znakapoznpodarou"/>
        </w:rPr>
        <w:footnoteRef/>
      </w:r>
      <w:r>
        <w:t xml:space="preserve"> </w:t>
      </w:r>
      <w:r w:rsidRPr="00D16E75">
        <w:rPr>
          <w:rStyle w:val="dn"/>
          <w:rFonts w:cs="Times New Roman"/>
        </w:rPr>
        <w:t>SOBÍŠKOVÁ, Zuzana. Příloha č. 1: Argumenty proti zavedení místní příslušnosti exekutorů a zrušení práva volby exekutora oprávněným.</w:t>
      </w:r>
    </w:p>
  </w:footnote>
  <w:footnote w:id="127">
    <w:p w:rsidR="00D3290D" w:rsidRPr="00D16E75" w:rsidRDefault="00D3290D" w:rsidP="00990022">
      <w:pPr>
        <w:pStyle w:val="Textpoznpodarou"/>
        <w:spacing w:line="240" w:lineRule="auto"/>
        <w:ind w:firstLine="0"/>
        <w:rPr>
          <w:rFonts w:cs="Times New Roman"/>
        </w:rPr>
      </w:pPr>
      <w:r w:rsidRPr="00D16E75">
        <w:rPr>
          <w:rStyle w:val="dn"/>
          <w:rFonts w:eastAsia="Times New Roman" w:cs="Times New Roman"/>
          <w:vertAlign w:val="superscript"/>
        </w:rPr>
        <w:footnoteRef/>
      </w:r>
      <w:r w:rsidRPr="00D16E75">
        <w:rPr>
          <w:rFonts w:cs="Times New Roman"/>
        </w:rPr>
        <w:t xml:space="preserve"> </w:t>
      </w:r>
      <w:r w:rsidR="00D16E75" w:rsidRPr="00D16E75">
        <w:rPr>
          <w:rStyle w:val="dn"/>
          <w:rFonts w:cs="Times New Roman"/>
        </w:rPr>
        <w:t>SOBÍŠKOVÁ, Zuzana. Příloha č. 1: Argumenty proti zavedení místní příslušnosti exekutorů a zrušení práva volby exekutora oprávněným.</w:t>
      </w:r>
    </w:p>
  </w:footnote>
  <w:footnote w:id="128">
    <w:p w:rsidR="00D3290D" w:rsidRDefault="00D3290D" w:rsidP="00990022">
      <w:pPr>
        <w:pStyle w:val="Textpoznpodarou"/>
        <w:spacing w:line="240" w:lineRule="auto"/>
        <w:ind w:firstLine="0"/>
      </w:pPr>
      <w:r w:rsidRPr="00D16E75">
        <w:rPr>
          <w:rStyle w:val="dn"/>
          <w:rFonts w:eastAsia="Times New Roman" w:cs="Times New Roman"/>
          <w:vertAlign w:val="superscript"/>
        </w:rPr>
        <w:footnoteRef/>
      </w:r>
      <w:r w:rsidRPr="00D16E75">
        <w:rPr>
          <w:rFonts w:cs="Times New Roman"/>
        </w:rPr>
        <w:t xml:space="preserve"> </w:t>
      </w:r>
      <w:r w:rsidR="00D16E75">
        <w:rPr>
          <w:rStyle w:val="dn"/>
        </w:rPr>
        <w:t>SOBÍŠKOVÁ, Zuzana. Příloha č. 1: Argumenty proti zavedení místní příslušnosti exekutorů a zrušení práva volby exekutora oprávněným.</w:t>
      </w:r>
    </w:p>
  </w:footnote>
  <w:footnote w:id="129">
    <w:p w:rsidR="00990022" w:rsidRDefault="00990022" w:rsidP="00990022">
      <w:pPr>
        <w:pStyle w:val="Textpoznpodarou"/>
        <w:spacing w:line="240" w:lineRule="auto"/>
        <w:ind w:firstLine="0"/>
      </w:pPr>
      <w:r>
        <w:rPr>
          <w:rStyle w:val="Znakapoznpodarou"/>
        </w:rPr>
        <w:footnoteRef/>
      </w:r>
      <w:r>
        <w:t xml:space="preserve"> </w:t>
      </w:r>
      <w:r w:rsidRPr="00D16E75">
        <w:rPr>
          <w:rStyle w:val="dn"/>
          <w:rFonts w:cs="Times New Roman"/>
        </w:rPr>
        <w:t>SOBÍŠKOVÁ, Zuzana. Příloha č. 1: Argumenty proti zavedení místní příslušnosti exekutorů a zrušení práva volby exekutora oprávněným.</w:t>
      </w:r>
    </w:p>
  </w:footnote>
  <w:footnote w:id="130">
    <w:p w:rsidR="00D3290D" w:rsidRPr="00990022" w:rsidRDefault="00D3290D" w:rsidP="00990022">
      <w:pPr>
        <w:pStyle w:val="Textpoznpodarou"/>
        <w:spacing w:line="240" w:lineRule="auto"/>
        <w:ind w:firstLine="0"/>
      </w:pPr>
      <w:r w:rsidRPr="00990022">
        <w:rPr>
          <w:rStyle w:val="dn"/>
          <w:rFonts w:eastAsia="Times New Roman" w:cs="Times New Roman"/>
          <w:vertAlign w:val="superscript"/>
        </w:rPr>
        <w:footnoteRef/>
      </w:r>
      <w:r w:rsidRPr="00990022">
        <w:t xml:space="preserve"> </w:t>
      </w:r>
      <w:r w:rsidR="00990022" w:rsidRPr="00990022">
        <w:rPr>
          <w:rStyle w:val="dn"/>
        </w:rPr>
        <w:t>ŠTIKA, Marek. Pohledem exekutora: Chcete stavě</w:t>
      </w:r>
      <w:r w:rsidR="00990022" w:rsidRPr="00990022">
        <w:rPr>
          <w:rStyle w:val="dn"/>
          <w:lang w:val="en-US"/>
        </w:rPr>
        <w:t>t sn</w:t>
      </w:r>
      <w:r w:rsidR="00990022" w:rsidRPr="00990022">
        <w:rPr>
          <w:rStyle w:val="dn"/>
        </w:rPr>
        <w:t>ě</w:t>
      </w:r>
      <w:r w:rsidR="00990022" w:rsidRPr="00990022">
        <w:rPr>
          <w:rStyle w:val="dn"/>
          <w:lang w:val="de-DE"/>
        </w:rPr>
        <w:t>hul</w:t>
      </w:r>
      <w:r w:rsidR="00990022" w:rsidRPr="00990022">
        <w:rPr>
          <w:rStyle w:val="dn"/>
        </w:rPr>
        <w:t>á</w:t>
      </w:r>
      <w:r w:rsidR="00990022" w:rsidRPr="00990022">
        <w:rPr>
          <w:rStyle w:val="dn"/>
          <w:lang w:val="pt-PT"/>
        </w:rPr>
        <w:t>ka? [online]. 11.10.2018 [cit. 2019-0</w:t>
      </w:r>
      <w:r w:rsidR="00990022" w:rsidRPr="00990022">
        <w:rPr>
          <w:rStyle w:val="dn"/>
        </w:rPr>
        <w:t>8-15]. Dostupn</w:t>
      </w:r>
      <w:r w:rsidR="00990022" w:rsidRPr="00990022">
        <w:rPr>
          <w:rStyle w:val="dn"/>
          <w:lang w:val="fr-FR"/>
        </w:rPr>
        <w:t xml:space="preserve">é </w:t>
      </w:r>
      <w:r w:rsidR="00990022" w:rsidRPr="00990022">
        <w:rPr>
          <w:rStyle w:val="dn"/>
        </w:rPr>
        <w:t>z: https://www.ceska-justice.cz/blog/pohledem-exekutora-chcete-stavet-snehulaka/</w:t>
      </w:r>
    </w:p>
  </w:footnote>
  <w:footnote w:id="131">
    <w:p w:rsidR="00D3290D" w:rsidRDefault="00D3290D" w:rsidP="00990022">
      <w:pPr>
        <w:pStyle w:val="Textpoznpodarou"/>
        <w:spacing w:line="240" w:lineRule="auto"/>
        <w:ind w:firstLine="0"/>
      </w:pPr>
      <w:r w:rsidRPr="00990022">
        <w:rPr>
          <w:rStyle w:val="dn"/>
          <w:rFonts w:eastAsia="Times New Roman" w:cs="Times New Roman"/>
          <w:vertAlign w:val="superscript"/>
        </w:rPr>
        <w:footnoteRef/>
      </w:r>
      <w:r w:rsidRPr="00990022">
        <w:t xml:space="preserve"> </w:t>
      </w:r>
      <w:r w:rsidR="00990022" w:rsidRPr="00990022">
        <w:rPr>
          <w:rStyle w:val="dn"/>
        </w:rPr>
        <w:t>ŠTIKA, Marek. Pohledem exekutora: Chcete stavě</w:t>
      </w:r>
      <w:r w:rsidR="00990022" w:rsidRPr="00990022">
        <w:rPr>
          <w:rStyle w:val="dn"/>
          <w:lang w:val="en-US"/>
        </w:rPr>
        <w:t>t sn</w:t>
      </w:r>
      <w:r w:rsidR="00990022" w:rsidRPr="00990022">
        <w:rPr>
          <w:rStyle w:val="dn"/>
        </w:rPr>
        <w:t>ě</w:t>
      </w:r>
      <w:r w:rsidR="00990022" w:rsidRPr="00990022">
        <w:rPr>
          <w:rStyle w:val="dn"/>
          <w:lang w:val="de-DE"/>
        </w:rPr>
        <w:t>hul</w:t>
      </w:r>
      <w:r w:rsidR="00990022" w:rsidRPr="00990022">
        <w:rPr>
          <w:rStyle w:val="dn"/>
        </w:rPr>
        <w:t>á</w:t>
      </w:r>
      <w:r w:rsidR="00990022" w:rsidRPr="00990022">
        <w:rPr>
          <w:rStyle w:val="dn"/>
          <w:lang w:val="pt-PT"/>
        </w:rPr>
        <w:t>ka? [online]. 11.10.2018 [cit. 2019-0</w:t>
      </w:r>
      <w:r w:rsidR="00990022" w:rsidRPr="00990022">
        <w:rPr>
          <w:rStyle w:val="dn"/>
        </w:rPr>
        <w:t>8-15]. Dostupn</w:t>
      </w:r>
      <w:r w:rsidR="00990022" w:rsidRPr="00990022">
        <w:rPr>
          <w:rStyle w:val="dn"/>
          <w:lang w:val="fr-FR"/>
        </w:rPr>
        <w:t xml:space="preserve">é </w:t>
      </w:r>
      <w:r w:rsidR="00990022" w:rsidRPr="00990022">
        <w:rPr>
          <w:rStyle w:val="dn"/>
        </w:rPr>
        <w:t>z: https://www.ceska-justice.cz/blog/pohledem-exekutora-chcete-stavet-snehulaka/</w:t>
      </w:r>
    </w:p>
  </w:footnote>
  <w:footnote w:id="132">
    <w:p w:rsidR="00D3290D" w:rsidRDefault="00D3290D" w:rsidP="00E42459">
      <w:pPr>
        <w:pStyle w:val="Textpoznpodarou"/>
        <w:spacing w:line="240" w:lineRule="auto"/>
        <w:ind w:firstLine="0"/>
      </w:pPr>
      <w:r>
        <w:rPr>
          <w:rStyle w:val="dn"/>
          <w:rFonts w:eastAsia="Times New Roman" w:cs="Times New Roman"/>
          <w:i/>
          <w:iCs/>
          <w:vertAlign w:val="superscript"/>
        </w:rPr>
        <w:footnoteRef/>
      </w:r>
      <w:r>
        <w:t xml:space="preserve"> </w:t>
      </w:r>
      <w:r>
        <w:rPr>
          <w:rStyle w:val="dn"/>
        </w:rPr>
        <w:t>V pří</w:t>
      </w:r>
      <w:r>
        <w:rPr>
          <w:rStyle w:val="dn"/>
          <w:lang w:val="nl-NL"/>
        </w:rPr>
        <w:t>loze p</w:t>
      </w:r>
      <w:r>
        <w:rPr>
          <w:rStyle w:val="dn"/>
        </w:rPr>
        <w:t>řikládám argumenty Mgr. Zuzany Sobíškov</w:t>
      </w:r>
      <w:r>
        <w:rPr>
          <w:rStyle w:val="dn"/>
          <w:lang w:val="fr-FR"/>
        </w:rPr>
        <w:t>é</w:t>
      </w:r>
      <w:r>
        <w:rPr>
          <w:rStyle w:val="dn"/>
        </w:rPr>
        <w:t>, proti zavedení místní příslušnosti exekutorů a zrušení práva volby exekutora oprávněným</w:t>
      </w:r>
      <w:r>
        <w:t xml:space="preserve">  </w:t>
      </w:r>
    </w:p>
  </w:footnote>
  <w:footnote w:id="133">
    <w:p w:rsidR="00D3290D" w:rsidRDefault="00D3290D" w:rsidP="00E42459">
      <w:pPr>
        <w:pStyle w:val="Textpoznpodarou"/>
        <w:spacing w:line="240" w:lineRule="auto"/>
        <w:ind w:firstLine="0"/>
      </w:pPr>
      <w:r>
        <w:rPr>
          <w:rStyle w:val="dn"/>
          <w:vertAlign w:val="superscript"/>
        </w:rPr>
        <w:footnoteRef/>
      </w:r>
      <w:r>
        <w:t xml:space="preserve"> </w:t>
      </w:r>
      <w:r w:rsidR="00990022">
        <w:t>BULANTOVÁ, Tereza. Porovnání exekuce správní a soudní. Plzeň, 2015. s.47-51, Bakalářská práce. Zá</w:t>
      </w:r>
      <w:r w:rsidR="00990022">
        <w:rPr>
          <w:lang w:val="es-ES_tradnl"/>
        </w:rPr>
        <w:t>pado</w:t>
      </w:r>
      <w:r w:rsidR="00990022">
        <w:t xml:space="preserve">česká univerzita v Plzni, fakulta právnická. Vedoucí práce JUDr. Tomáš </w:t>
      </w:r>
      <w:r w:rsidR="00990022">
        <w:rPr>
          <w:lang w:val="pt-PT"/>
        </w:rPr>
        <w:t>Louda, CSc.</w:t>
      </w:r>
    </w:p>
  </w:footnote>
  <w:footnote w:id="134">
    <w:p w:rsidR="00D3290D" w:rsidRPr="0040063B" w:rsidRDefault="00D3290D" w:rsidP="00E42459">
      <w:pPr>
        <w:pStyle w:val="Textpoznpodarou"/>
        <w:spacing w:line="240" w:lineRule="auto"/>
        <w:ind w:firstLine="0"/>
        <w:rPr>
          <w:rFonts w:cs="Times New Roman"/>
        </w:rPr>
      </w:pPr>
      <w:r w:rsidRPr="00D3290D">
        <w:rPr>
          <w:rStyle w:val="dn"/>
          <w:rFonts w:eastAsia="Times New Roman" w:cs="Times New Roman"/>
          <w:sz w:val="24"/>
          <w:szCs w:val="24"/>
          <w:vertAlign w:val="superscript"/>
        </w:rPr>
        <w:footnoteRef/>
      </w:r>
      <w:r w:rsidRPr="00D3290D">
        <w:t xml:space="preserve"> </w:t>
      </w:r>
      <w:r w:rsidRPr="00D3290D">
        <w:rPr>
          <w:rFonts w:cs="Times New Roman"/>
        </w:rPr>
        <w:t>KULKOVÁ, Radmila. Střety souběžně probíhajících exekucí. Právní rozhledy. 2002, č. 9, s. 417 - 422)</w:t>
      </w:r>
    </w:p>
  </w:footnote>
  <w:footnote w:id="135">
    <w:p w:rsidR="00D3290D" w:rsidRDefault="00D3290D" w:rsidP="00E42459">
      <w:pPr>
        <w:pStyle w:val="Textpoznpodarou"/>
        <w:spacing w:line="240" w:lineRule="auto"/>
        <w:ind w:firstLine="0"/>
      </w:pPr>
      <w:r w:rsidRPr="00D3290D">
        <w:rPr>
          <w:rStyle w:val="dn"/>
          <w:rFonts w:eastAsia="Times New Roman" w:cs="Times New Roman"/>
          <w:vertAlign w:val="superscript"/>
        </w:rPr>
        <w:footnoteRef/>
      </w:r>
      <w:r w:rsidRPr="00D3290D">
        <w:rPr>
          <w:rFonts w:cs="Times New Roman"/>
        </w:rPr>
        <w:t xml:space="preserve"> tamtéž</w:t>
      </w:r>
    </w:p>
  </w:footnote>
  <w:footnote w:id="136">
    <w:p w:rsidR="00D3290D" w:rsidRPr="0040063B" w:rsidRDefault="00D3290D" w:rsidP="00990022">
      <w:pPr>
        <w:pStyle w:val="Textpoznpodarou"/>
        <w:shd w:val="clear" w:color="auto" w:fill="FFFFFF" w:themeFill="background1"/>
        <w:spacing w:line="240" w:lineRule="auto"/>
        <w:ind w:firstLine="0"/>
        <w:rPr>
          <w:rFonts w:cs="Times New Roman"/>
        </w:rPr>
      </w:pPr>
      <w:r w:rsidRPr="00D3290D">
        <w:rPr>
          <w:rStyle w:val="dn"/>
          <w:rFonts w:eastAsia="Times New Roman" w:cs="Times New Roman"/>
          <w:sz w:val="24"/>
          <w:szCs w:val="24"/>
          <w:vertAlign w:val="superscript"/>
        </w:rPr>
        <w:footnoteRef/>
      </w:r>
      <w:r w:rsidRPr="00D3290D">
        <w:t xml:space="preserve"> </w:t>
      </w:r>
      <w:r w:rsidR="00990022" w:rsidRPr="00D3290D">
        <w:rPr>
          <w:rFonts w:cs="Times New Roman"/>
        </w:rPr>
        <w:t>KULKOVÁ, Radmila. Střety souběžně probíhajících exekucí. Právní rozhledy. 2002, č. 9, s. 417 - 422)</w:t>
      </w:r>
    </w:p>
  </w:footnote>
  <w:footnote w:id="137">
    <w:p w:rsidR="00D3290D" w:rsidRDefault="00D3290D" w:rsidP="00990022">
      <w:pPr>
        <w:pStyle w:val="Textpoznpodarou"/>
        <w:spacing w:line="240" w:lineRule="auto"/>
        <w:ind w:firstLine="0"/>
      </w:pPr>
      <w:r w:rsidRPr="00D3290D">
        <w:rPr>
          <w:rStyle w:val="dn"/>
          <w:rFonts w:eastAsia="Times New Roman" w:cs="Times New Roman"/>
          <w:vertAlign w:val="superscript"/>
        </w:rPr>
        <w:footnoteRef/>
      </w:r>
      <w:r w:rsidRPr="00D3290D">
        <w:rPr>
          <w:rFonts w:cs="Times New Roman"/>
        </w:rPr>
        <w:t xml:space="preserve"> t</w:t>
      </w:r>
      <w:r w:rsidRPr="0040063B">
        <w:rPr>
          <w:rFonts w:cs="Times New Roman"/>
        </w:rPr>
        <w:t>amtéž</w:t>
      </w:r>
    </w:p>
  </w:footnote>
  <w:footnote w:id="138">
    <w:p w:rsidR="00B36766" w:rsidRDefault="00B36766" w:rsidP="00990022">
      <w:pPr>
        <w:pStyle w:val="Textpoznpodarou"/>
        <w:spacing w:line="240" w:lineRule="auto"/>
        <w:ind w:firstLine="0"/>
      </w:pPr>
      <w:r>
        <w:rPr>
          <w:rStyle w:val="Znakapoznpodarou"/>
        </w:rPr>
        <w:footnoteRef/>
      </w:r>
      <w:r>
        <w:t xml:space="preserve"> </w:t>
      </w:r>
      <w:r w:rsidRPr="00B36766">
        <w:rPr>
          <w:rFonts w:eastAsia="Calibri" w:cs="Calibri"/>
          <w:color w:val="000000"/>
          <w:u w:color="000000"/>
          <w:bdr w:val="nil"/>
          <w:lang w:eastAsia="cs-CZ"/>
        </w:rPr>
        <w:t>BULANTOVÁ, Tereza. Porovnání exekuce správní a soudní. Plzeň, 2015. s.43-44,Bakalářská práce. Zá</w:t>
      </w:r>
      <w:r w:rsidRPr="00B36766">
        <w:rPr>
          <w:rFonts w:eastAsia="Calibri" w:cs="Calibri"/>
          <w:color w:val="000000"/>
          <w:u w:color="000000"/>
          <w:bdr w:val="nil"/>
          <w:lang w:val="es-ES_tradnl" w:eastAsia="cs-CZ"/>
        </w:rPr>
        <w:t>pado</w:t>
      </w:r>
      <w:r w:rsidRPr="00B36766">
        <w:rPr>
          <w:rFonts w:eastAsia="Calibri" w:cs="Calibri"/>
          <w:color w:val="000000"/>
          <w:u w:color="000000"/>
          <w:bdr w:val="nil"/>
          <w:lang w:eastAsia="cs-CZ"/>
        </w:rPr>
        <w:t xml:space="preserve">česká univerzita v Plzni, fakulta právnická. Vedoucí práce JUDr. Tomáš </w:t>
      </w:r>
      <w:r w:rsidRPr="00B36766">
        <w:rPr>
          <w:rFonts w:eastAsia="Calibri" w:cs="Calibri"/>
          <w:color w:val="000000"/>
          <w:u w:color="000000"/>
          <w:bdr w:val="nil"/>
          <w:lang w:val="pt-PT" w:eastAsia="cs-CZ"/>
        </w:rPr>
        <w:t>Louda, CSc.</w:t>
      </w:r>
    </w:p>
  </w:footnote>
  <w:footnote w:id="139">
    <w:p w:rsidR="006B3FB3" w:rsidRDefault="006B3FB3" w:rsidP="006B3FB3">
      <w:pPr>
        <w:pStyle w:val="Textpoznpodarou"/>
        <w:ind w:firstLine="0"/>
      </w:pPr>
      <w:r>
        <w:rPr>
          <w:rStyle w:val="Znakapoznpodarou"/>
        </w:rPr>
        <w:footnoteRef/>
      </w:r>
      <w:r>
        <w:t xml:space="preserve"> </w:t>
      </w:r>
      <w:r w:rsidRPr="00B36766">
        <w:rPr>
          <w:rFonts w:eastAsia="Calibri" w:cs="Calibri"/>
          <w:color w:val="000000"/>
          <w:u w:color="000000"/>
          <w:bdr w:val="nil"/>
          <w:lang w:eastAsia="cs-CZ"/>
        </w:rPr>
        <w:t>BULANTOVÁ, Tereza. Porovnání exekuce spr</w:t>
      </w:r>
      <w:r w:rsidR="002725B5">
        <w:rPr>
          <w:rFonts w:eastAsia="Calibri" w:cs="Calibri"/>
          <w:color w:val="000000"/>
          <w:u w:color="000000"/>
          <w:bdr w:val="nil"/>
          <w:lang w:eastAsia="cs-CZ"/>
        </w:rPr>
        <w:t>ávní a soudní. Plzeň, 2015. s.45-46</w:t>
      </w:r>
      <w:r w:rsidRPr="00B36766">
        <w:rPr>
          <w:rFonts w:eastAsia="Calibri" w:cs="Calibri"/>
          <w:color w:val="000000"/>
          <w:u w:color="000000"/>
          <w:bdr w:val="nil"/>
          <w:lang w:eastAsia="cs-CZ"/>
        </w:rPr>
        <w:t>,Bakalářská práce. Zá</w:t>
      </w:r>
      <w:r w:rsidRPr="00B36766">
        <w:rPr>
          <w:rFonts w:eastAsia="Calibri" w:cs="Calibri"/>
          <w:color w:val="000000"/>
          <w:u w:color="000000"/>
          <w:bdr w:val="nil"/>
          <w:lang w:val="es-ES_tradnl" w:eastAsia="cs-CZ"/>
        </w:rPr>
        <w:t>pado</w:t>
      </w:r>
      <w:r w:rsidRPr="00B36766">
        <w:rPr>
          <w:rFonts w:eastAsia="Calibri" w:cs="Calibri"/>
          <w:color w:val="000000"/>
          <w:u w:color="000000"/>
          <w:bdr w:val="nil"/>
          <w:lang w:eastAsia="cs-CZ"/>
        </w:rPr>
        <w:t xml:space="preserve">česká univerzita v Plzni, fakulta právnická. Vedoucí práce JUDr. Tomáš </w:t>
      </w:r>
      <w:r w:rsidRPr="00B36766">
        <w:rPr>
          <w:rFonts w:eastAsia="Calibri" w:cs="Calibri"/>
          <w:color w:val="000000"/>
          <w:u w:color="000000"/>
          <w:bdr w:val="nil"/>
          <w:lang w:val="pt-PT" w:eastAsia="cs-CZ"/>
        </w:rPr>
        <w:t>Louda, CSc.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0D" w:rsidRDefault="00D3290D">
    <w:pPr>
      <w:pStyle w:val="Zhlavazpa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0D" w:rsidRDefault="00D3290D">
    <w:pPr>
      <w:pStyle w:val="Zhlavazpa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974"/>
    <w:multiLevelType w:val="hybridMultilevel"/>
    <w:tmpl w:val="CC14CCE6"/>
    <w:styleLink w:val="Importovanstyl13"/>
    <w:lvl w:ilvl="0" w:tplc="2F2878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A75F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A0481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F66182">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E8C47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841BD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6C655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64112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1A143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98036B0"/>
    <w:multiLevelType w:val="hybridMultilevel"/>
    <w:tmpl w:val="62FA6646"/>
    <w:lvl w:ilvl="0" w:tplc="B860F10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C25E9C"/>
    <w:multiLevelType w:val="hybridMultilevel"/>
    <w:tmpl w:val="98FECABC"/>
    <w:styleLink w:val="Importovanstyl4"/>
    <w:lvl w:ilvl="0" w:tplc="4A5E6F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9CEC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A43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0619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F037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7CE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7241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CEA0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681F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AF1754B"/>
    <w:multiLevelType w:val="hybridMultilevel"/>
    <w:tmpl w:val="65CA738C"/>
    <w:numStyleLink w:val="Importovanstyl7"/>
  </w:abstractNum>
  <w:abstractNum w:abstractNumId="4">
    <w:nsid w:val="0D925D9C"/>
    <w:multiLevelType w:val="hybridMultilevel"/>
    <w:tmpl w:val="E146B4A0"/>
    <w:styleLink w:val="Importovanstyl5"/>
    <w:lvl w:ilvl="0" w:tplc="E60C168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0782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E2C04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58012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3E426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D2F85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8413E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AA6A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A61D8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F6551D5"/>
    <w:multiLevelType w:val="hybridMultilevel"/>
    <w:tmpl w:val="2056D868"/>
    <w:numStyleLink w:val="Importovanstyl9"/>
  </w:abstractNum>
  <w:abstractNum w:abstractNumId="6">
    <w:nsid w:val="13EC6D4D"/>
    <w:multiLevelType w:val="hybridMultilevel"/>
    <w:tmpl w:val="D790276A"/>
    <w:styleLink w:val="Importovanstyl14"/>
    <w:lvl w:ilvl="0" w:tplc="78D8892C">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74867A2">
      <w:start w:val="1"/>
      <w:numFmt w:val="bullet"/>
      <w:lvlText w:val="o"/>
      <w:lvlJc w:val="left"/>
      <w:pPr>
        <w:ind w:left="13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5B26850">
      <w:start w:val="1"/>
      <w:numFmt w:val="bullet"/>
      <w:lvlText w:val="▪"/>
      <w:lvlJc w:val="left"/>
      <w:pPr>
        <w:ind w:left="21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034CA1C">
      <w:start w:val="1"/>
      <w:numFmt w:val="bullet"/>
      <w:lvlText w:val="•"/>
      <w:lvlJc w:val="left"/>
      <w:pPr>
        <w:ind w:left="28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32A18C8">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5B87376">
      <w:start w:val="1"/>
      <w:numFmt w:val="bullet"/>
      <w:lvlText w:val="▪"/>
      <w:lvlJc w:val="left"/>
      <w:pPr>
        <w:ind w:left="42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0F80F76">
      <w:start w:val="1"/>
      <w:numFmt w:val="bullet"/>
      <w:lvlText w:val="•"/>
      <w:lvlJc w:val="left"/>
      <w:pPr>
        <w:ind w:left="49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BF00246">
      <w:start w:val="1"/>
      <w:numFmt w:val="bullet"/>
      <w:lvlText w:val="o"/>
      <w:lvlJc w:val="left"/>
      <w:pPr>
        <w:ind w:left="57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F54A8BE">
      <w:start w:val="1"/>
      <w:numFmt w:val="bullet"/>
      <w:lvlText w:val="▪"/>
      <w:lvlJc w:val="left"/>
      <w:pPr>
        <w:ind w:left="64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nsid w:val="14733B43"/>
    <w:multiLevelType w:val="hybridMultilevel"/>
    <w:tmpl w:val="65CA738C"/>
    <w:styleLink w:val="Importovanstyl7"/>
    <w:lvl w:ilvl="0" w:tplc="1BC6D9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48DF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A866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A8F82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DAAB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3843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2C8B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83A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D270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48D0BB9"/>
    <w:multiLevelType w:val="hybridMultilevel"/>
    <w:tmpl w:val="29A03EDA"/>
    <w:numStyleLink w:val="Odrky"/>
  </w:abstractNum>
  <w:abstractNum w:abstractNumId="9">
    <w:nsid w:val="168F33D9"/>
    <w:multiLevelType w:val="multilevel"/>
    <w:tmpl w:val="8ABE0B22"/>
    <w:styleLink w:val="Importovanstyl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108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ind w:left="1800" w:hanging="144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ind w:left="2160" w:hanging="1800"/>
      </w:pPr>
      <w:rPr>
        <w:rFonts w:hAnsi="Arial Unicode MS"/>
        <w:b/>
        <w:bCs/>
        <w:i/>
        <w:iCs/>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1B25134F"/>
    <w:multiLevelType w:val="hybridMultilevel"/>
    <w:tmpl w:val="0486ECA6"/>
    <w:styleLink w:val="Importovanstyl3"/>
    <w:lvl w:ilvl="0" w:tplc="19A8B6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CEE13C">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F2D12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2A6D64">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523F4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7640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EE125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588F44">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98EBB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240E6247"/>
    <w:multiLevelType w:val="hybridMultilevel"/>
    <w:tmpl w:val="A17ECE82"/>
    <w:numStyleLink w:val="Importovanstyl2"/>
  </w:abstractNum>
  <w:abstractNum w:abstractNumId="12">
    <w:nsid w:val="2BAC1576"/>
    <w:multiLevelType w:val="hybridMultilevel"/>
    <w:tmpl w:val="2056D868"/>
    <w:styleLink w:val="Importovanstyl9"/>
    <w:lvl w:ilvl="0" w:tplc="BC861A78">
      <w:start w:val="1"/>
      <w:numFmt w:val="lowerLetter"/>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BD16AACA">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1066884">
      <w:start w:val="1"/>
      <w:numFmt w:val="lowerRoman"/>
      <w:lvlText w:val="%3."/>
      <w:lvlJc w:val="left"/>
      <w:pPr>
        <w:ind w:left="2160" w:hanging="290"/>
      </w:pPr>
      <w:rPr>
        <w:rFonts w:hAnsi="Arial Unicode MS"/>
        <w:i/>
        <w:iCs/>
        <w:caps w:val="0"/>
        <w:smallCaps w:val="0"/>
        <w:strike w:val="0"/>
        <w:dstrike w:val="0"/>
        <w:outline w:val="0"/>
        <w:emboss w:val="0"/>
        <w:imprint w:val="0"/>
        <w:spacing w:val="0"/>
        <w:w w:val="100"/>
        <w:kern w:val="0"/>
        <w:position w:val="0"/>
        <w:highlight w:val="none"/>
        <w:vertAlign w:val="baseline"/>
      </w:rPr>
    </w:lvl>
    <w:lvl w:ilvl="3" w:tplc="266AF7C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30BE47A6">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C24A728">
      <w:start w:val="1"/>
      <w:numFmt w:val="lowerRoman"/>
      <w:lvlText w:val="%6."/>
      <w:lvlJc w:val="left"/>
      <w:pPr>
        <w:ind w:left="4320" w:hanging="290"/>
      </w:pPr>
      <w:rPr>
        <w:rFonts w:hAnsi="Arial Unicode MS"/>
        <w:i/>
        <w:iCs/>
        <w:caps w:val="0"/>
        <w:smallCaps w:val="0"/>
        <w:strike w:val="0"/>
        <w:dstrike w:val="0"/>
        <w:outline w:val="0"/>
        <w:emboss w:val="0"/>
        <w:imprint w:val="0"/>
        <w:spacing w:val="0"/>
        <w:w w:val="100"/>
        <w:kern w:val="0"/>
        <w:position w:val="0"/>
        <w:highlight w:val="none"/>
        <w:vertAlign w:val="baseline"/>
      </w:rPr>
    </w:lvl>
    <w:lvl w:ilvl="6" w:tplc="332EB96A">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D2EE162">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FFEEEBBE">
      <w:start w:val="1"/>
      <w:numFmt w:val="lowerRoman"/>
      <w:lvlText w:val="%9."/>
      <w:lvlJc w:val="left"/>
      <w:pPr>
        <w:ind w:left="6480" w:hanging="29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3">
    <w:nsid w:val="34B7020B"/>
    <w:multiLevelType w:val="hybridMultilevel"/>
    <w:tmpl w:val="29A03EDA"/>
    <w:styleLink w:val="Odrky"/>
    <w:lvl w:ilvl="0" w:tplc="981C004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s>
        <w:ind w:left="720" w:hanging="50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4A902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s>
        <w:ind w:left="8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46E81D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46EE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2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167CF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s>
        <w:ind w:left="147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77CE70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s>
        <w:ind w:left="169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056DA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9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C60202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C9E8E8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s>
        <w:ind w:left="23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37992746"/>
    <w:multiLevelType w:val="hybridMultilevel"/>
    <w:tmpl w:val="98FECABC"/>
    <w:numStyleLink w:val="Importovanstyl4"/>
  </w:abstractNum>
  <w:abstractNum w:abstractNumId="15">
    <w:nsid w:val="407B7461"/>
    <w:multiLevelType w:val="hybridMultilevel"/>
    <w:tmpl w:val="ECECDD56"/>
    <w:styleLink w:val="Importovanstyl12"/>
    <w:lvl w:ilvl="0" w:tplc="EBB418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70164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CF72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56B71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346634">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425FD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9E4DB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16420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34BC7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3350E2C"/>
    <w:multiLevelType w:val="hybridMultilevel"/>
    <w:tmpl w:val="E146B4A0"/>
    <w:numStyleLink w:val="Importovanstyl5"/>
  </w:abstractNum>
  <w:abstractNum w:abstractNumId="17">
    <w:nsid w:val="43E73471"/>
    <w:multiLevelType w:val="hybridMultilevel"/>
    <w:tmpl w:val="606A31EC"/>
    <w:numStyleLink w:val="Importovanstyl11"/>
  </w:abstractNum>
  <w:abstractNum w:abstractNumId="18">
    <w:nsid w:val="44716DD0"/>
    <w:multiLevelType w:val="hybridMultilevel"/>
    <w:tmpl w:val="D790276A"/>
    <w:numStyleLink w:val="Importovanstyl14"/>
  </w:abstractNum>
  <w:abstractNum w:abstractNumId="19">
    <w:nsid w:val="4DB8583F"/>
    <w:multiLevelType w:val="hybridMultilevel"/>
    <w:tmpl w:val="90D4865A"/>
    <w:numStyleLink w:val="Importovanstyl10"/>
  </w:abstractNum>
  <w:abstractNum w:abstractNumId="20">
    <w:nsid w:val="4FD8591B"/>
    <w:multiLevelType w:val="hybridMultilevel"/>
    <w:tmpl w:val="606A31EC"/>
    <w:styleLink w:val="Importovanstyl11"/>
    <w:lvl w:ilvl="0" w:tplc="A4C0D774">
      <w:start w:val="1"/>
      <w:numFmt w:val="lowerLetter"/>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6F61AD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38A9CF2">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6936D9BE">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EE56DDD8">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F5C5D1C">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7D3E290A">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C98CA68">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3E64C6C">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1">
    <w:nsid w:val="522525B3"/>
    <w:multiLevelType w:val="hybridMultilevel"/>
    <w:tmpl w:val="CC14CCE6"/>
    <w:numStyleLink w:val="Importovanstyl13"/>
  </w:abstractNum>
  <w:abstractNum w:abstractNumId="22">
    <w:nsid w:val="52CA4A19"/>
    <w:multiLevelType w:val="hybridMultilevel"/>
    <w:tmpl w:val="5A26ED1A"/>
    <w:numStyleLink w:val="Importovanstyl8"/>
  </w:abstractNum>
  <w:abstractNum w:abstractNumId="23">
    <w:nsid w:val="53704562"/>
    <w:multiLevelType w:val="multilevel"/>
    <w:tmpl w:val="30CA35EE"/>
    <w:lvl w:ilvl="0">
      <w:start w:val="3"/>
      <w:numFmt w:val="decimal"/>
      <w:lvlText w:val="%1"/>
      <w:lvlJc w:val="left"/>
      <w:pPr>
        <w:ind w:left="360" w:hanging="360"/>
      </w:pPr>
      <w:rPr>
        <w:rFonts w:eastAsia="Cambria" w:cs="Cambria" w:hint="default"/>
      </w:rPr>
    </w:lvl>
    <w:lvl w:ilvl="1">
      <w:start w:val="1"/>
      <w:numFmt w:val="decimal"/>
      <w:lvlText w:val="%1.%2"/>
      <w:lvlJc w:val="left"/>
      <w:pPr>
        <w:ind w:left="360" w:hanging="360"/>
      </w:pPr>
      <w:rPr>
        <w:rFonts w:eastAsia="Cambria" w:cs="Cambria" w:hint="default"/>
      </w:rPr>
    </w:lvl>
    <w:lvl w:ilvl="2">
      <w:start w:val="1"/>
      <w:numFmt w:val="decimal"/>
      <w:lvlText w:val="%1.%2.%3"/>
      <w:lvlJc w:val="left"/>
      <w:pPr>
        <w:ind w:left="720" w:hanging="720"/>
      </w:pPr>
      <w:rPr>
        <w:rFonts w:eastAsia="Cambria" w:cs="Cambria" w:hint="default"/>
        <w:sz w:val="24"/>
        <w:szCs w:val="24"/>
      </w:rPr>
    </w:lvl>
    <w:lvl w:ilvl="3">
      <w:start w:val="1"/>
      <w:numFmt w:val="decimal"/>
      <w:lvlText w:val="%1.%2.%3.%4"/>
      <w:lvlJc w:val="left"/>
      <w:pPr>
        <w:ind w:left="720" w:hanging="720"/>
      </w:pPr>
      <w:rPr>
        <w:rFonts w:eastAsia="Cambria" w:cs="Cambria" w:hint="default"/>
      </w:rPr>
    </w:lvl>
    <w:lvl w:ilvl="4">
      <w:start w:val="1"/>
      <w:numFmt w:val="decimal"/>
      <w:lvlText w:val="%1.%2.%3.%4.%5"/>
      <w:lvlJc w:val="left"/>
      <w:pPr>
        <w:ind w:left="1080" w:hanging="1080"/>
      </w:pPr>
      <w:rPr>
        <w:rFonts w:eastAsia="Cambria" w:cs="Cambria" w:hint="default"/>
      </w:rPr>
    </w:lvl>
    <w:lvl w:ilvl="5">
      <w:start w:val="1"/>
      <w:numFmt w:val="decimal"/>
      <w:lvlText w:val="%1.%2.%3.%4.%5.%6"/>
      <w:lvlJc w:val="left"/>
      <w:pPr>
        <w:ind w:left="1440" w:hanging="1440"/>
      </w:pPr>
      <w:rPr>
        <w:rFonts w:eastAsia="Cambria" w:cs="Cambria" w:hint="default"/>
      </w:rPr>
    </w:lvl>
    <w:lvl w:ilvl="6">
      <w:start w:val="1"/>
      <w:numFmt w:val="decimal"/>
      <w:lvlText w:val="%1.%2.%3.%4.%5.%6.%7"/>
      <w:lvlJc w:val="left"/>
      <w:pPr>
        <w:ind w:left="1440" w:hanging="1440"/>
      </w:pPr>
      <w:rPr>
        <w:rFonts w:eastAsia="Cambria" w:cs="Cambria" w:hint="default"/>
      </w:rPr>
    </w:lvl>
    <w:lvl w:ilvl="7">
      <w:start w:val="1"/>
      <w:numFmt w:val="decimal"/>
      <w:lvlText w:val="%1.%2.%3.%4.%5.%6.%7.%8"/>
      <w:lvlJc w:val="left"/>
      <w:pPr>
        <w:ind w:left="1800" w:hanging="1800"/>
      </w:pPr>
      <w:rPr>
        <w:rFonts w:eastAsia="Cambria" w:cs="Cambria" w:hint="default"/>
      </w:rPr>
    </w:lvl>
    <w:lvl w:ilvl="8">
      <w:start w:val="1"/>
      <w:numFmt w:val="decimal"/>
      <w:lvlText w:val="%1.%2.%3.%4.%5.%6.%7.%8.%9"/>
      <w:lvlJc w:val="left"/>
      <w:pPr>
        <w:ind w:left="1800" w:hanging="1800"/>
      </w:pPr>
      <w:rPr>
        <w:rFonts w:eastAsia="Cambria" w:cs="Cambria" w:hint="default"/>
      </w:rPr>
    </w:lvl>
  </w:abstractNum>
  <w:abstractNum w:abstractNumId="24">
    <w:nsid w:val="537275C1"/>
    <w:multiLevelType w:val="hybridMultilevel"/>
    <w:tmpl w:val="5A26ED1A"/>
    <w:styleLink w:val="Importovanstyl8"/>
    <w:lvl w:ilvl="0" w:tplc="7C704DA4">
      <w:start w:val="1"/>
      <w:numFmt w:val="lowerLetter"/>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908BD8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6A5A88C8">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D08869C0">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6E82EC7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38AEE66">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8666837C">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73612C8">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06293FE">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5">
    <w:nsid w:val="55EB5110"/>
    <w:multiLevelType w:val="hybridMultilevel"/>
    <w:tmpl w:val="ECECDD56"/>
    <w:numStyleLink w:val="Importovanstyl12"/>
  </w:abstractNum>
  <w:abstractNum w:abstractNumId="26">
    <w:nsid w:val="5C2E2804"/>
    <w:multiLevelType w:val="hybridMultilevel"/>
    <w:tmpl w:val="0486ECA6"/>
    <w:numStyleLink w:val="Importovanstyl3"/>
  </w:abstractNum>
  <w:abstractNum w:abstractNumId="27">
    <w:nsid w:val="5CE625F0"/>
    <w:multiLevelType w:val="hybridMultilevel"/>
    <w:tmpl w:val="64E62D26"/>
    <w:styleLink w:val="Importovanstyl6"/>
    <w:lvl w:ilvl="0" w:tplc="67A6CE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BC6B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B279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7AFA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1671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EFB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3E3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4EE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E8E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62DB301F"/>
    <w:multiLevelType w:val="hybridMultilevel"/>
    <w:tmpl w:val="A17ECE82"/>
    <w:styleLink w:val="Importovanstyl2"/>
    <w:lvl w:ilvl="0" w:tplc="0DC0D5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944108">
      <w:start w:val="1"/>
      <w:numFmt w:val="bullet"/>
      <w:lvlText w:val="·"/>
      <w:lvlJc w:val="left"/>
      <w:pPr>
        <w:ind w:left="1785" w:hanging="70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51C67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C053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B868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5E88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4AC6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20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02DF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6B3355F6"/>
    <w:multiLevelType w:val="hybridMultilevel"/>
    <w:tmpl w:val="2FCE45E0"/>
    <w:styleLink w:val="Importovanstyl15"/>
    <w:lvl w:ilvl="0" w:tplc="321A68A6">
      <w:start w:val="1"/>
      <w:numFmt w:val="upperRoman"/>
      <w:lvlText w:val="%1."/>
      <w:lvlJc w:val="left"/>
      <w:pPr>
        <w:ind w:left="72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D8BAA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9F6918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36ED8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B7E553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ED89BB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EC0571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722886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D0412D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nsid w:val="6E9F2112"/>
    <w:multiLevelType w:val="multilevel"/>
    <w:tmpl w:val="17EE6344"/>
    <w:lvl w:ilvl="0">
      <w:start w:val="1"/>
      <w:numFmt w:val="decimal"/>
      <w:lvlText w:val="%1"/>
      <w:lvlJc w:val="left"/>
      <w:pPr>
        <w:ind w:left="720" w:hanging="360"/>
      </w:pPr>
      <w:rPr>
        <w:rFonts w:eastAsia="Cambria" w:cs="Cambria" w:hint="default"/>
      </w:rPr>
    </w:lvl>
    <w:lvl w:ilvl="1">
      <w:start w:val="1"/>
      <w:numFmt w:val="decimal"/>
      <w:isLgl/>
      <w:lvlText w:val="%1.%2"/>
      <w:lvlJc w:val="left"/>
      <w:pPr>
        <w:ind w:left="720" w:hanging="360"/>
      </w:pPr>
      <w:rPr>
        <w:rFonts w:eastAsia="Cambria" w:cs="Cambria" w:hint="default"/>
      </w:rPr>
    </w:lvl>
    <w:lvl w:ilvl="2">
      <w:start w:val="1"/>
      <w:numFmt w:val="decimal"/>
      <w:isLgl/>
      <w:lvlText w:val="%1.%2.%3"/>
      <w:lvlJc w:val="left"/>
      <w:pPr>
        <w:ind w:left="1080" w:hanging="720"/>
      </w:pPr>
      <w:rPr>
        <w:rFonts w:eastAsia="Cambria" w:cs="Cambria" w:hint="default"/>
      </w:rPr>
    </w:lvl>
    <w:lvl w:ilvl="3">
      <w:start w:val="1"/>
      <w:numFmt w:val="decimal"/>
      <w:isLgl/>
      <w:lvlText w:val="%1.%2.%3.%4"/>
      <w:lvlJc w:val="left"/>
      <w:pPr>
        <w:ind w:left="1080" w:hanging="720"/>
      </w:pPr>
      <w:rPr>
        <w:rFonts w:eastAsia="Cambria" w:cs="Cambria" w:hint="default"/>
      </w:rPr>
    </w:lvl>
    <w:lvl w:ilvl="4">
      <w:start w:val="1"/>
      <w:numFmt w:val="decimal"/>
      <w:isLgl/>
      <w:lvlText w:val="%1.%2.%3.%4.%5"/>
      <w:lvlJc w:val="left"/>
      <w:pPr>
        <w:ind w:left="1440" w:hanging="1080"/>
      </w:pPr>
      <w:rPr>
        <w:rFonts w:eastAsia="Cambria" w:cs="Cambria" w:hint="default"/>
      </w:rPr>
    </w:lvl>
    <w:lvl w:ilvl="5">
      <w:start w:val="1"/>
      <w:numFmt w:val="decimal"/>
      <w:isLgl/>
      <w:lvlText w:val="%1.%2.%3.%4.%5.%6"/>
      <w:lvlJc w:val="left"/>
      <w:pPr>
        <w:ind w:left="1800" w:hanging="1440"/>
      </w:pPr>
      <w:rPr>
        <w:rFonts w:eastAsia="Cambria" w:cs="Cambria" w:hint="default"/>
      </w:rPr>
    </w:lvl>
    <w:lvl w:ilvl="6">
      <w:start w:val="1"/>
      <w:numFmt w:val="decimal"/>
      <w:isLgl/>
      <w:lvlText w:val="%1.%2.%3.%4.%5.%6.%7"/>
      <w:lvlJc w:val="left"/>
      <w:pPr>
        <w:ind w:left="1800" w:hanging="1440"/>
      </w:pPr>
      <w:rPr>
        <w:rFonts w:eastAsia="Cambria" w:cs="Cambria" w:hint="default"/>
      </w:rPr>
    </w:lvl>
    <w:lvl w:ilvl="7">
      <w:start w:val="1"/>
      <w:numFmt w:val="decimal"/>
      <w:isLgl/>
      <w:lvlText w:val="%1.%2.%3.%4.%5.%6.%7.%8"/>
      <w:lvlJc w:val="left"/>
      <w:pPr>
        <w:ind w:left="2160" w:hanging="1800"/>
      </w:pPr>
      <w:rPr>
        <w:rFonts w:eastAsia="Cambria" w:cs="Cambria" w:hint="default"/>
      </w:rPr>
    </w:lvl>
    <w:lvl w:ilvl="8">
      <w:start w:val="1"/>
      <w:numFmt w:val="decimal"/>
      <w:isLgl/>
      <w:lvlText w:val="%1.%2.%3.%4.%5.%6.%7.%8.%9"/>
      <w:lvlJc w:val="left"/>
      <w:pPr>
        <w:ind w:left="2160" w:hanging="1800"/>
      </w:pPr>
      <w:rPr>
        <w:rFonts w:eastAsia="Cambria" w:cs="Cambria" w:hint="default"/>
      </w:rPr>
    </w:lvl>
  </w:abstractNum>
  <w:abstractNum w:abstractNumId="31">
    <w:nsid w:val="7446716A"/>
    <w:multiLevelType w:val="hybridMultilevel"/>
    <w:tmpl w:val="64E62D26"/>
    <w:numStyleLink w:val="Importovanstyl6"/>
  </w:abstractNum>
  <w:abstractNum w:abstractNumId="32">
    <w:nsid w:val="78BA527A"/>
    <w:multiLevelType w:val="multilevel"/>
    <w:tmpl w:val="D3642A42"/>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C744C88"/>
    <w:multiLevelType w:val="hybridMultilevel"/>
    <w:tmpl w:val="90D4865A"/>
    <w:styleLink w:val="Importovanstyl10"/>
    <w:lvl w:ilvl="0" w:tplc="D2C69988">
      <w:start w:val="1"/>
      <w:numFmt w:val="lowerLetter"/>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AD62B58">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593A975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257A3B9E">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6E7052E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779C2944">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6596AD40">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1E8A1C">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A129D9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4">
    <w:nsid w:val="7D840CC9"/>
    <w:multiLevelType w:val="hybridMultilevel"/>
    <w:tmpl w:val="2FCE45E0"/>
    <w:numStyleLink w:val="Importovanstyl15"/>
  </w:abstractNum>
  <w:num w:numId="1">
    <w:abstractNumId w:val="9"/>
  </w:num>
  <w:num w:numId="2">
    <w:abstractNumId w:val="28"/>
  </w:num>
  <w:num w:numId="3">
    <w:abstractNumId w:val="11"/>
  </w:num>
  <w:num w:numId="4">
    <w:abstractNumId w:val="10"/>
  </w:num>
  <w:num w:numId="5">
    <w:abstractNumId w:val="26"/>
  </w:num>
  <w:num w:numId="6">
    <w:abstractNumId w:val="2"/>
  </w:num>
  <w:num w:numId="7">
    <w:abstractNumId w:val="14"/>
  </w:num>
  <w:num w:numId="8">
    <w:abstractNumId w:val="4"/>
  </w:num>
  <w:num w:numId="9">
    <w:abstractNumId w:val="16"/>
  </w:num>
  <w:num w:numId="10">
    <w:abstractNumId w:val="27"/>
  </w:num>
  <w:num w:numId="11">
    <w:abstractNumId w:val="31"/>
  </w:num>
  <w:num w:numId="12">
    <w:abstractNumId w:val="7"/>
  </w:num>
  <w:num w:numId="13">
    <w:abstractNumId w:val="3"/>
  </w:num>
  <w:num w:numId="14">
    <w:abstractNumId w:val="24"/>
  </w:num>
  <w:num w:numId="15">
    <w:abstractNumId w:val="22"/>
  </w:num>
  <w:num w:numId="16">
    <w:abstractNumId w:val="12"/>
  </w:num>
  <w:num w:numId="17">
    <w:abstractNumId w:val="5"/>
  </w:num>
  <w:num w:numId="18">
    <w:abstractNumId w:val="33"/>
  </w:num>
  <w:num w:numId="19">
    <w:abstractNumId w:val="19"/>
  </w:num>
  <w:num w:numId="20">
    <w:abstractNumId w:val="20"/>
  </w:num>
  <w:num w:numId="21">
    <w:abstractNumId w:val="17"/>
  </w:num>
  <w:num w:numId="22">
    <w:abstractNumId w:val="13"/>
  </w:num>
  <w:num w:numId="23">
    <w:abstractNumId w:val="8"/>
  </w:num>
  <w:num w:numId="24">
    <w:abstractNumId w:val="15"/>
  </w:num>
  <w:num w:numId="25">
    <w:abstractNumId w:val="25"/>
  </w:num>
  <w:num w:numId="26">
    <w:abstractNumId w:val="0"/>
  </w:num>
  <w:num w:numId="27">
    <w:abstractNumId w:val="21"/>
  </w:num>
  <w:num w:numId="28">
    <w:abstractNumId w:val="6"/>
  </w:num>
  <w:num w:numId="29">
    <w:abstractNumId w:val="18"/>
  </w:num>
  <w:num w:numId="30">
    <w:abstractNumId w:val="29"/>
  </w:num>
  <w:num w:numId="31">
    <w:abstractNumId w:val="34"/>
  </w:num>
  <w:num w:numId="32">
    <w:abstractNumId w:val="1"/>
  </w:num>
  <w:num w:numId="33">
    <w:abstractNumId w:val="30"/>
  </w:num>
  <w:num w:numId="34">
    <w:abstractNumId w:val="23"/>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CB0"/>
    <w:rsid w:val="00002BCC"/>
    <w:rsid w:val="000033F5"/>
    <w:rsid w:val="0000380C"/>
    <w:rsid w:val="00003C15"/>
    <w:rsid w:val="000061D1"/>
    <w:rsid w:val="00006CEF"/>
    <w:rsid w:val="00007E93"/>
    <w:rsid w:val="000101D1"/>
    <w:rsid w:val="000129BD"/>
    <w:rsid w:val="00015436"/>
    <w:rsid w:val="000166BC"/>
    <w:rsid w:val="000174A8"/>
    <w:rsid w:val="00017F20"/>
    <w:rsid w:val="00021EFD"/>
    <w:rsid w:val="00022AB1"/>
    <w:rsid w:val="0002551C"/>
    <w:rsid w:val="00026C1C"/>
    <w:rsid w:val="00027BCF"/>
    <w:rsid w:val="00031B63"/>
    <w:rsid w:val="00036175"/>
    <w:rsid w:val="00036FA2"/>
    <w:rsid w:val="00037665"/>
    <w:rsid w:val="00037CA6"/>
    <w:rsid w:val="00041840"/>
    <w:rsid w:val="00041D57"/>
    <w:rsid w:val="000435A6"/>
    <w:rsid w:val="00043902"/>
    <w:rsid w:val="00044008"/>
    <w:rsid w:val="00044DE4"/>
    <w:rsid w:val="00046EAF"/>
    <w:rsid w:val="000476F9"/>
    <w:rsid w:val="000501D7"/>
    <w:rsid w:val="00052631"/>
    <w:rsid w:val="000526CA"/>
    <w:rsid w:val="000530C7"/>
    <w:rsid w:val="0005541E"/>
    <w:rsid w:val="00064718"/>
    <w:rsid w:val="00066EFA"/>
    <w:rsid w:val="00067357"/>
    <w:rsid w:val="0007074C"/>
    <w:rsid w:val="0007299B"/>
    <w:rsid w:val="000732AA"/>
    <w:rsid w:val="00073963"/>
    <w:rsid w:val="0007469D"/>
    <w:rsid w:val="0007598F"/>
    <w:rsid w:val="000770E8"/>
    <w:rsid w:val="000776F9"/>
    <w:rsid w:val="00081504"/>
    <w:rsid w:val="00082FF3"/>
    <w:rsid w:val="00083A6A"/>
    <w:rsid w:val="00083E99"/>
    <w:rsid w:val="00085864"/>
    <w:rsid w:val="00090235"/>
    <w:rsid w:val="00090CB9"/>
    <w:rsid w:val="000930AB"/>
    <w:rsid w:val="00093206"/>
    <w:rsid w:val="00094609"/>
    <w:rsid w:val="000A18C7"/>
    <w:rsid w:val="000A29D7"/>
    <w:rsid w:val="000A4AA5"/>
    <w:rsid w:val="000A59AD"/>
    <w:rsid w:val="000A721A"/>
    <w:rsid w:val="000A7392"/>
    <w:rsid w:val="000A7448"/>
    <w:rsid w:val="000B4119"/>
    <w:rsid w:val="000B4CE1"/>
    <w:rsid w:val="000B4EF0"/>
    <w:rsid w:val="000B54ED"/>
    <w:rsid w:val="000C1C38"/>
    <w:rsid w:val="000C2D04"/>
    <w:rsid w:val="000C3618"/>
    <w:rsid w:val="000C3854"/>
    <w:rsid w:val="000C5C59"/>
    <w:rsid w:val="000C6F47"/>
    <w:rsid w:val="000C7569"/>
    <w:rsid w:val="000D0305"/>
    <w:rsid w:val="000D0968"/>
    <w:rsid w:val="000D3901"/>
    <w:rsid w:val="000D3FF1"/>
    <w:rsid w:val="000D4DF3"/>
    <w:rsid w:val="000E03FB"/>
    <w:rsid w:val="000E362C"/>
    <w:rsid w:val="000E541B"/>
    <w:rsid w:val="000F2910"/>
    <w:rsid w:val="000F40EB"/>
    <w:rsid w:val="000F4AAF"/>
    <w:rsid w:val="000F4AB7"/>
    <w:rsid w:val="000F4F7E"/>
    <w:rsid w:val="000F5309"/>
    <w:rsid w:val="00100A43"/>
    <w:rsid w:val="001013F5"/>
    <w:rsid w:val="00105642"/>
    <w:rsid w:val="00107316"/>
    <w:rsid w:val="001076CB"/>
    <w:rsid w:val="00111C21"/>
    <w:rsid w:val="00111E2D"/>
    <w:rsid w:val="001128D9"/>
    <w:rsid w:val="00112F76"/>
    <w:rsid w:val="0011376B"/>
    <w:rsid w:val="00114CA5"/>
    <w:rsid w:val="001152EE"/>
    <w:rsid w:val="00116427"/>
    <w:rsid w:val="001226ED"/>
    <w:rsid w:val="0012281B"/>
    <w:rsid w:val="001243AF"/>
    <w:rsid w:val="001258A6"/>
    <w:rsid w:val="00126808"/>
    <w:rsid w:val="00127E7C"/>
    <w:rsid w:val="00135210"/>
    <w:rsid w:val="00143761"/>
    <w:rsid w:val="0014440D"/>
    <w:rsid w:val="00146CE1"/>
    <w:rsid w:val="001535D4"/>
    <w:rsid w:val="001559B8"/>
    <w:rsid w:val="00155B74"/>
    <w:rsid w:val="00156863"/>
    <w:rsid w:val="00157D38"/>
    <w:rsid w:val="00157F52"/>
    <w:rsid w:val="0016302D"/>
    <w:rsid w:val="001640F2"/>
    <w:rsid w:val="00164212"/>
    <w:rsid w:val="00164245"/>
    <w:rsid w:val="0016792E"/>
    <w:rsid w:val="001710A8"/>
    <w:rsid w:val="00172F56"/>
    <w:rsid w:val="0017357D"/>
    <w:rsid w:val="00174339"/>
    <w:rsid w:val="001744A3"/>
    <w:rsid w:val="00176010"/>
    <w:rsid w:val="0017681B"/>
    <w:rsid w:val="00177AB2"/>
    <w:rsid w:val="00182635"/>
    <w:rsid w:val="0018704F"/>
    <w:rsid w:val="00190AD5"/>
    <w:rsid w:val="00192BDA"/>
    <w:rsid w:val="001933F2"/>
    <w:rsid w:val="001940D1"/>
    <w:rsid w:val="0019512B"/>
    <w:rsid w:val="0019516C"/>
    <w:rsid w:val="00195643"/>
    <w:rsid w:val="0019588A"/>
    <w:rsid w:val="001958CD"/>
    <w:rsid w:val="001959F5"/>
    <w:rsid w:val="001A244D"/>
    <w:rsid w:val="001A25D5"/>
    <w:rsid w:val="001A36BC"/>
    <w:rsid w:val="001A622A"/>
    <w:rsid w:val="001B10B5"/>
    <w:rsid w:val="001B158F"/>
    <w:rsid w:val="001B20FE"/>
    <w:rsid w:val="001B321E"/>
    <w:rsid w:val="001B5746"/>
    <w:rsid w:val="001B5EDC"/>
    <w:rsid w:val="001B6121"/>
    <w:rsid w:val="001B6127"/>
    <w:rsid w:val="001B6590"/>
    <w:rsid w:val="001C10A6"/>
    <w:rsid w:val="001C1756"/>
    <w:rsid w:val="001C3417"/>
    <w:rsid w:val="001C596F"/>
    <w:rsid w:val="001C6AB1"/>
    <w:rsid w:val="001C73E8"/>
    <w:rsid w:val="001C7E83"/>
    <w:rsid w:val="001C7E93"/>
    <w:rsid w:val="001C7F0D"/>
    <w:rsid w:val="001D0207"/>
    <w:rsid w:val="001D51B4"/>
    <w:rsid w:val="001E0976"/>
    <w:rsid w:val="001E269C"/>
    <w:rsid w:val="001E2D08"/>
    <w:rsid w:val="001E30EC"/>
    <w:rsid w:val="001E3AA1"/>
    <w:rsid w:val="001E4EC7"/>
    <w:rsid w:val="001E4FEA"/>
    <w:rsid w:val="001E6088"/>
    <w:rsid w:val="001E6BD0"/>
    <w:rsid w:val="001F04C7"/>
    <w:rsid w:val="001F4D16"/>
    <w:rsid w:val="001F5D7F"/>
    <w:rsid w:val="001F7C52"/>
    <w:rsid w:val="00203878"/>
    <w:rsid w:val="00204434"/>
    <w:rsid w:val="00206DA3"/>
    <w:rsid w:val="0020781C"/>
    <w:rsid w:val="00207880"/>
    <w:rsid w:val="002078FF"/>
    <w:rsid w:val="002115B9"/>
    <w:rsid w:val="0021216D"/>
    <w:rsid w:val="00212D2D"/>
    <w:rsid w:val="00214ECB"/>
    <w:rsid w:val="0021621A"/>
    <w:rsid w:val="00217E83"/>
    <w:rsid w:val="00221DF2"/>
    <w:rsid w:val="0022239E"/>
    <w:rsid w:val="00225A81"/>
    <w:rsid w:val="00225D73"/>
    <w:rsid w:val="002315CD"/>
    <w:rsid w:val="0023171C"/>
    <w:rsid w:val="00231B97"/>
    <w:rsid w:val="002332CF"/>
    <w:rsid w:val="0023358F"/>
    <w:rsid w:val="00233A93"/>
    <w:rsid w:val="00233EBA"/>
    <w:rsid w:val="00234D51"/>
    <w:rsid w:val="002361DD"/>
    <w:rsid w:val="002403A8"/>
    <w:rsid w:val="00241980"/>
    <w:rsid w:val="00241ADB"/>
    <w:rsid w:val="00243077"/>
    <w:rsid w:val="002434B5"/>
    <w:rsid w:val="00244005"/>
    <w:rsid w:val="0024655C"/>
    <w:rsid w:val="002466E2"/>
    <w:rsid w:val="00247CCC"/>
    <w:rsid w:val="00251ADD"/>
    <w:rsid w:val="00252743"/>
    <w:rsid w:val="0025375B"/>
    <w:rsid w:val="00257AC1"/>
    <w:rsid w:val="00257DE5"/>
    <w:rsid w:val="00260259"/>
    <w:rsid w:val="00260B70"/>
    <w:rsid w:val="0026101B"/>
    <w:rsid w:val="00263BCB"/>
    <w:rsid w:val="0026408D"/>
    <w:rsid w:val="002664B2"/>
    <w:rsid w:val="00270AED"/>
    <w:rsid w:val="0027166A"/>
    <w:rsid w:val="00272113"/>
    <w:rsid w:val="002725B5"/>
    <w:rsid w:val="00272C35"/>
    <w:rsid w:val="002730D0"/>
    <w:rsid w:val="0027359A"/>
    <w:rsid w:val="00274562"/>
    <w:rsid w:val="0027581D"/>
    <w:rsid w:val="00276C2C"/>
    <w:rsid w:val="00280F4E"/>
    <w:rsid w:val="002833C8"/>
    <w:rsid w:val="0028368E"/>
    <w:rsid w:val="00284367"/>
    <w:rsid w:val="00286254"/>
    <w:rsid w:val="002906B5"/>
    <w:rsid w:val="00290C1F"/>
    <w:rsid w:val="00290CB0"/>
    <w:rsid w:val="00291A36"/>
    <w:rsid w:val="0029233C"/>
    <w:rsid w:val="002934D3"/>
    <w:rsid w:val="00293A82"/>
    <w:rsid w:val="002944E8"/>
    <w:rsid w:val="00294993"/>
    <w:rsid w:val="00295F36"/>
    <w:rsid w:val="002A09DE"/>
    <w:rsid w:val="002A5016"/>
    <w:rsid w:val="002A5B4A"/>
    <w:rsid w:val="002A6012"/>
    <w:rsid w:val="002A6E71"/>
    <w:rsid w:val="002B0B4F"/>
    <w:rsid w:val="002B6077"/>
    <w:rsid w:val="002B649E"/>
    <w:rsid w:val="002C080F"/>
    <w:rsid w:val="002C0A91"/>
    <w:rsid w:val="002C0E00"/>
    <w:rsid w:val="002C632E"/>
    <w:rsid w:val="002D0D2A"/>
    <w:rsid w:val="002D3DAA"/>
    <w:rsid w:val="002D51BB"/>
    <w:rsid w:val="002D56E7"/>
    <w:rsid w:val="002D587F"/>
    <w:rsid w:val="002E2B9D"/>
    <w:rsid w:val="002E4C88"/>
    <w:rsid w:val="002E6BD2"/>
    <w:rsid w:val="002F0C97"/>
    <w:rsid w:val="002F2E8B"/>
    <w:rsid w:val="002F42C6"/>
    <w:rsid w:val="002F4868"/>
    <w:rsid w:val="002F75AC"/>
    <w:rsid w:val="00300C7D"/>
    <w:rsid w:val="00302EAB"/>
    <w:rsid w:val="0030419B"/>
    <w:rsid w:val="00304BA0"/>
    <w:rsid w:val="0030535C"/>
    <w:rsid w:val="00307425"/>
    <w:rsid w:val="00310601"/>
    <w:rsid w:val="00310610"/>
    <w:rsid w:val="0031455A"/>
    <w:rsid w:val="0031624A"/>
    <w:rsid w:val="00317D28"/>
    <w:rsid w:val="00321365"/>
    <w:rsid w:val="00322A53"/>
    <w:rsid w:val="003253B3"/>
    <w:rsid w:val="00327957"/>
    <w:rsid w:val="00327C43"/>
    <w:rsid w:val="003316DC"/>
    <w:rsid w:val="00331B5B"/>
    <w:rsid w:val="003321CD"/>
    <w:rsid w:val="003331B8"/>
    <w:rsid w:val="00334DD3"/>
    <w:rsid w:val="00336506"/>
    <w:rsid w:val="00337786"/>
    <w:rsid w:val="00337C17"/>
    <w:rsid w:val="00341CDE"/>
    <w:rsid w:val="00343E68"/>
    <w:rsid w:val="003460D2"/>
    <w:rsid w:val="00346540"/>
    <w:rsid w:val="003504A1"/>
    <w:rsid w:val="00350852"/>
    <w:rsid w:val="00352554"/>
    <w:rsid w:val="00353F61"/>
    <w:rsid w:val="003564BD"/>
    <w:rsid w:val="00360B81"/>
    <w:rsid w:val="00361809"/>
    <w:rsid w:val="00363E2D"/>
    <w:rsid w:val="0036476B"/>
    <w:rsid w:val="00364B9F"/>
    <w:rsid w:val="00365F5C"/>
    <w:rsid w:val="00366086"/>
    <w:rsid w:val="003665EE"/>
    <w:rsid w:val="00366667"/>
    <w:rsid w:val="00366968"/>
    <w:rsid w:val="00366E64"/>
    <w:rsid w:val="00374253"/>
    <w:rsid w:val="003776DA"/>
    <w:rsid w:val="0038151A"/>
    <w:rsid w:val="00381BAF"/>
    <w:rsid w:val="003840A1"/>
    <w:rsid w:val="00385776"/>
    <w:rsid w:val="0038693F"/>
    <w:rsid w:val="00386CC8"/>
    <w:rsid w:val="00386F55"/>
    <w:rsid w:val="003955CB"/>
    <w:rsid w:val="003956BC"/>
    <w:rsid w:val="00397EBD"/>
    <w:rsid w:val="003A0948"/>
    <w:rsid w:val="003A0BC5"/>
    <w:rsid w:val="003A3608"/>
    <w:rsid w:val="003A3C4C"/>
    <w:rsid w:val="003A43EA"/>
    <w:rsid w:val="003A6ABE"/>
    <w:rsid w:val="003A6CF8"/>
    <w:rsid w:val="003A783D"/>
    <w:rsid w:val="003B051B"/>
    <w:rsid w:val="003B07FC"/>
    <w:rsid w:val="003B1CA4"/>
    <w:rsid w:val="003B2430"/>
    <w:rsid w:val="003B329D"/>
    <w:rsid w:val="003B4D66"/>
    <w:rsid w:val="003C129C"/>
    <w:rsid w:val="003C1C24"/>
    <w:rsid w:val="003C6644"/>
    <w:rsid w:val="003C67C4"/>
    <w:rsid w:val="003D1285"/>
    <w:rsid w:val="003D247B"/>
    <w:rsid w:val="003D2CAF"/>
    <w:rsid w:val="003E040B"/>
    <w:rsid w:val="003E092E"/>
    <w:rsid w:val="003E1BCE"/>
    <w:rsid w:val="003E54C5"/>
    <w:rsid w:val="003E5674"/>
    <w:rsid w:val="003E6E63"/>
    <w:rsid w:val="003E70C1"/>
    <w:rsid w:val="003F0E12"/>
    <w:rsid w:val="003F34CF"/>
    <w:rsid w:val="003F49C4"/>
    <w:rsid w:val="003F5FAC"/>
    <w:rsid w:val="003F689B"/>
    <w:rsid w:val="003F738E"/>
    <w:rsid w:val="0040273B"/>
    <w:rsid w:val="004040F0"/>
    <w:rsid w:val="00407B2D"/>
    <w:rsid w:val="0041130E"/>
    <w:rsid w:val="0041132C"/>
    <w:rsid w:val="00411D08"/>
    <w:rsid w:val="004144C1"/>
    <w:rsid w:val="00414F1B"/>
    <w:rsid w:val="00417214"/>
    <w:rsid w:val="0041770C"/>
    <w:rsid w:val="00417838"/>
    <w:rsid w:val="00417C7B"/>
    <w:rsid w:val="00417D76"/>
    <w:rsid w:val="00420E28"/>
    <w:rsid w:val="00424323"/>
    <w:rsid w:val="0042571C"/>
    <w:rsid w:val="004269C7"/>
    <w:rsid w:val="00430CA1"/>
    <w:rsid w:val="004329F6"/>
    <w:rsid w:val="00432F86"/>
    <w:rsid w:val="0043352D"/>
    <w:rsid w:val="004335C6"/>
    <w:rsid w:val="00434904"/>
    <w:rsid w:val="00443306"/>
    <w:rsid w:val="00444329"/>
    <w:rsid w:val="004448D2"/>
    <w:rsid w:val="0044491D"/>
    <w:rsid w:val="00445823"/>
    <w:rsid w:val="00445CDA"/>
    <w:rsid w:val="0044601A"/>
    <w:rsid w:val="0045106B"/>
    <w:rsid w:val="0045242E"/>
    <w:rsid w:val="0045361E"/>
    <w:rsid w:val="004553CF"/>
    <w:rsid w:val="00455C12"/>
    <w:rsid w:val="0046023E"/>
    <w:rsid w:val="00460E0C"/>
    <w:rsid w:val="00460E44"/>
    <w:rsid w:val="00461C86"/>
    <w:rsid w:val="004622EB"/>
    <w:rsid w:val="00462F86"/>
    <w:rsid w:val="00466985"/>
    <w:rsid w:val="004676A8"/>
    <w:rsid w:val="004717F0"/>
    <w:rsid w:val="00472178"/>
    <w:rsid w:val="00472449"/>
    <w:rsid w:val="00473F2C"/>
    <w:rsid w:val="0047427E"/>
    <w:rsid w:val="00477578"/>
    <w:rsid w:val="004777F6"/>
    <w:rsid w:val="00481C97"/>
    <w:rsid w:val="00493602"/>
    <w:rsid w:val="00495F6F"/>
    <w:rsid w:val="004972F0"/>
    <w:rsid w:val="00497B3D"/>
    <w:rsid w:val="00497B65"/>
    <w:rsid w:val="004A0AD9"/>
    <w:rsid w:val="004A2B04"/>
    <w:rsid w:val="004A40D2"/>
    <w:rsid w:val="004A7257"/>
    <w:rsid w:val="004B13EF"/>
    <w:rsid w:val="004B1D03"/>
    <w:rsid w:val="004B2829"/>
    <w:rsid w:val="004B2DA8"/>
    <w:rsid w:val="004B2F5E"/>
    <w:rsid w:val="004B63C9"/>
    <w:rsid w:val="004B6F35"/>
    <w:rsid w:val="004C2B8D"/>
    <w:rsid w:val="004C3392"/>
    <w:rsid w:val="004C3D2D"/>
    <w:rsid w:val="004C796A"/>
    <w:rsid w:val="004D1B51"/>
    <w:rsid w:val="004D27AC"/>
    <w:rsid w:val="004D58CC"/>
    <w:rsid w:val="004D5955"/>
    <w:rsid w:val="004E1094"/>
    <w:rsid w:val="004E21FB"/>
    <w:rsid w:val="004E42CF"/>
    <w:rsid w:val="004E66E0"/>
    <w:rsid w:val="004E7D22"/>
    <w:rsid w:val="004E7F31"/>
    <w:rsid w:val="004F0010"/>
    <w:rsid w:val="004F64B2"/>
    <w:rsid w:val="004F7E24"/>
    <w:rsid w:val="0050013B"/>
    <w:rsid w:val="00502B82"/>
    <w:rsid w:val="005118D7"/>
    <w:rsid w:val="00515E50"/>
    <w:rsid w:val="00517F95"/>
    <w:rsid w:val="005206B2"/>
    <w:rsid w:val="00521878"/>
    <w:rsid w:val="00526894"/>
    <w:rsid w:val="005269FF"/>
    <w:rsid w:val="00526CEE"/>
    <w:rsid w:val="005309EE"/>
    <w:rsid w:val="00532536"/>
    <w:rsid w:val="00535204"/>
    <w:rsid w:val="00537CC8"/>
    <w:rsid w:val="00537D6B"/>
    <w:rsid w:val="00540A06"/>
    <w:rsid w:val="0054159C"/>
    <w:rsid w:val="00542409"/>
    <w:rsid w:val="0054332E"/>
    <w:rsid w:val="00544481"/>
    <w:rsid w:val="005463A2"/>
    <w:rsid w:val="0055238D"/>
    <w:rsid w:val="005557E8"/>
    <w:rsid w:val="0055699C"/>
    <w:rsid w:val="00556F11"/>
    <w:rsid w:val="00557735"/>
    <w:rsid w:val="00561699"/>
    <w:rsid w:val="005623F9"/>
    <w:rsid w:val="005627EC"/>
    <w:rsid w:val="00564D52"/>
    <w:rsid w:val="005653AF"/>
    <w:rsid w:val="00566DB2"/>
    <w:rsid w:val="005671F5"/>
    <w:rsid w:val="0057108E"/>
    <w:rsid w:val="00575FEA"/>
    <w:rsid w:val="0057600E"/>
    <w:rsid w:val="00576BA3"/>
    <w:rsid w:val="005827B0"/>
    <w:rsid w:val="00582E54"/>
    <w:rsid w:val="0058396D"/>
    <w:rsid w:val="00583B16"/>
    <w:rsid w:val="0058418B"/>
    <w:rsid w:val="0058526A"/>
    <w:rsid w:val="00590F9A"/>
    <w:rsid w:val="005939CE"/>
    <w:rsid w:val="0059415F"/>
    <w:rsid w:val="00595AE7"/>
    <w:rsid w:val="00597476"/>
    <w:rsid w:val="005A15DE"/>
    <w:rsid w:val="005A19F6"/>
    <w:rsid w:val="005A1DB0"/>
    <w:rsid w:val="005A468C"/>
    <w:rsid w:val="005A481A"/>
    <w:rsid w:val="005A5751"/>
    <w:rsid w:val="005A7310"/>
    <w:rsid w:val="005A75B8"/>
    <w:rsid w:val="005B0B2D"/>
    <w:rsid w:val="005B1F69"/>
    <w:rsid w:val="005B46A0"/>
    <w:rsid w:val="005B4998"/>
    <w:rsid w:val="005B4CB9"/>
    <w:rsid w:val="005B66D8"/>
    <w:rsid w:val="005C1F11"/>
    <w:rsid w:val="005C275B"/>
    <w:rsid w:val="005C64BC"/>
    <w:rsid w:val="005C706D"/>
    <w:rsid w:val="005C75A9"/>
    <w:rsid w:val="005D0105"/>
    <w:rsid w:val="005D0241"/>
    <w:rsid w:val="005D293E"/>
    <w:rsid w:val="005D781B"/>
    <w:rsid w:val="005E0D50"/>
    <w:rsid w:val="005E1D52"/>
    <w:rsid w:val="005E2B79"/>
    <w:rsid w:val="005E468A"/>
    <w:rsid w:val="005E6016"/>
    <w:rsid w:val="005E7565"/>
    <w:rsid w:val="005F4E84"/>
    <w:rsid w:val="005F5688"/>
    <w:rsid w:val="005F5D29"/>
    <w:rsid w:val="005F5FEE"/>
    <w:rsid w:val="005F6893"/>
    <w:rsid w:val="005F7703"/>
    <w:rsid w:val="006026BD"/>
    <w:rsid w:val="0060527B"/>
    <w:rsid w:val="00607359"/>
    <w:rsid w:val="00612F2C"/>
    <w:rsid w:val="00614366"/>
    <w:rsid w:val="00614B32"/>
    <w:rsid w:val="006160D9"/>
    <w:rsid w:val="00620BFE"/>
    <w:rsid w:val="00624B12"/>
    <w:rsid w:val="00624C36"/>
    <w:rsid w:val="0062692B"/>
    <w:rsid w:val="0063053E"/>
    <w:rsid w:val="00631775"/>
    <w:rsid w:val="00633940"/>
    <w:rsid w:val="006364A7"/>
    <w:rsid w:val="0064152C"/>
    <w:rsid w:val="0064197E"/>
    <w:rsid w:val="0064300E"/>
    <w:rsid w:val="0064485F"/>
    <w:rsid w:val="00644AED"/>
    <w:rsid w:val="00644C82"/>
    <w:rsid w:val="00651A69"/>
    <w:rsid w:val="006541AB"/>
    <w:rsid w:val="00655904"/>
    <w:rsid w:val="00662E8A"/>
    <w:rsid w:val="006663CB"/>
    <w:rsid w:val="006736B1"/>
    <w:rsid w:val="00673AC2"/>
    <w:rsid w:val="00673E50"/>
    <w:rsid w:val="00681001"/>
    <w:rsid w:val="00681FC1"/>
    <w:rsid w:val="006830CA"/>
    <w:rsid w:val="00684E68"/>
    <w:rsid w:val="00687072"/>
    <w:rsid w:val="00690F5E"/>
    <w:rsid w:val="00691524"/>
    <w:rsid w:val="006965B0"/>
    <w:rsid w:val="00697471"/>
    <w:rsid w:val="00697E85"/>
    <w:rsid w:val="006A16A6"/>
    <w:rsid w:val="006A39C2"/>
    <w:rsid w:val="006A3A75"/>
    <w:rsid w:val="006A472D"/>
    <w:rsid w:val="006B13C0"/>
    <w:rsid w:val="006B3FB3"/>
    <w:rsid w:val="006B5016"/>
    <w:rsid w:val="006B5317"/>
    <w:rsid w:val="006B70E7"/>
    <w:rsid w:val="006C43CF"/>
    <w:rsid w:val="006C64C2"/>
    <w:rsid w:val="006C6784"/>
    <w:rsid w:val="006C7204"/>
    <w:rsid w:val="006C74E7"/>
    <w:rsid w:val="006D3166"/>
    <w:rsid w:val="006D6158"/>
    <w:rsid w:val="006D73B1"/>
    <w:rsid w:val="006D78CB"/>
    <w:rsid w:val="006D79C9"/>
    <w:rsid w:val="006E14CD"/>
    <w:rsid w:val="006E212D"/>
    <w:rsid w:val="006E2480"/>
    <w:rsid w:val="006E32FA"/>
    <w:rsid w:val="006E4D15"/>
    <w:rsid w:val="006E6E88"/>
    <w:rsid w:val="006E7BDF"/>
    <w:rsid w:val="006F4608"/>
    <w:rsid w:val="0070073B"/>
    <w:rsid w:val="007013F7"/>
    <w:rsid w:val="00704F30"/>
    <w:rsid w:val="007064DB"/>
    <w:rsid w:val="007128F7"/>
    <w:rsid w:val="00713DC4"/>
    <w:rsid w:val="007150B0"/>
    <w:rsid w:val="0071520F"/>
    <w:rsid w:val="007162ED"/>
    <w:rsid w:val="007175AC"/>
    <w:rsid w:val="00720971"/>
    <w:rsid w:val="00722869"/>
    <w:rsid w:val="007240C3"/>
    <w:rsid w:val="00731320"/>
    <w:rsid w:val="00731F57"/>
    <w:rsid w:val="007320CA"/>
    <w:rsid w:val="00741027"/>
    <w:rsid w:val="007414E0"/>
    <w:rsid w:val="00743425"/>
    <w:rsid w:val="00743A19"/>
    <w:rsid w:val="00743F0D"/>
    <w:rsid w:val="00751A31"/>
    <w:rsid w:val="00751D09"/>
    <w:rsid w:val="00753955"/>
    <w:rsid w:val="00755CC8"/>
    <w:rsid w:val="00756DD9"/>
    <w:rsid w:val="00757C84"/>
    <w:rsid w:val="00763575"/>
    <w:rsid w:val="00764C3D"/>
    <w:rsid w:val="00765049"/>
    <w:rsid w:val="00765727"/>
    <w:rsid w:val="00765C25"/>
    <w:rsid w:val="00765CCB"/>
    <w:rsid w:val="00770AEA"/>
    <w:rsid w:val="00772222"/>
    <w:rsid w:val="007723F2"/>
    <w:rsid w:val="0077280D"/>
    <w:rsid w:val="00772F37"/>
    <w:rsid w:val="00775C1E"/>
    <w:rsid w:val="00776BE6"/>
    <w:rsid w:val="00777C86"/>
    <w:rsid w:val="00780412"/>
    <w:rsid w:val="00782333"/>
    <w:rsid w:val="00782356"/>
    <w:rsid w:val="0078303E"/>
    <w:rsid w:val="00783061"/>
    <w:rsid w:val="00783211"/>
    <w:rsid w:val="00790C3A"/>
    <w:rsid w:val="00791626"/>
    <w:rsid w:val="0079276D"/>
    <w:rsid w:val="00792C78"/>
    <w:rsid w:val="00793273"/>
    <w:rsid w:val="00794991"/>
    <w:rsid w:val="00794ABE"/>
    <w:rsid w:val="007952CE"/>
    <w:rsid w:val="0079652B"/>
    <w:rsid w:val="00797D76"/>
    <w:rsid w:val="007A15C7"/>
    <w:rsid w:val="007A2166"/>
    <w:rsid w:val="007A2179"/>
    <w:rsid w:val="007A2442"/>
    <w:rsid w:val="007A5B09"/>
    <w:rsid w:val="007A5F1E"/>
    <w:rsid w:val="007B00B8"/>
    <w:rsid w:val="007B6CCE"/>
    <w:rsid w:val="007B768A"/>
    <w:rsid w:val="007C3C4F"/>
    <w:rsid w:val="007C4C23"/>
    <w:rsid w:val="007C4E2F"/>
    <w:rsid w:val="007C4FF1"/>
    <w:rsid w:val="007C5639"/>
    <w:rsid w:val="007D0486"/>
    <w:rsid w:val="007D2E0C"/>
    <w:rsid w:val="007D2E22"/>
    <w:rsid w:val="007D2EE0"/>
    <w:rsid w:val="007D3BA3"/>
    <w:rsid w:val="007D46C1"/>
    <w:rsid w:val="007D4E02"/>
    <w:rsid w:val="007E1488"/>
    <w:rsid w:val="007E2008"/>
    <w:rsid w:val="007E5CF1"/>
    <w:rsid w:val="007E7C3A"/>
    <w:rsid w:val="007F2B82"/>
    <w:rsid w:val="007F2D48"/>
    <w:rsid w:val="007F31A6"/>
    <w:rsid w:val="007F35A9"/>
    <w:rsid w:val="007F3C97"/>
    <w:rsid w:val="007F3D90"/>
    <w:rsid w:val="007F56B3"/>
    <w:rsid w:val="007F7964"/>
    <w:rsid w:val="00805E17"/>
    <w:rsid w:val="00811147"/>
    <w:rsid w:val="008122C7"/>
    <w:rsid w:val="0081295C"/>
    <w:rsid w:val="008137E0"/>
    <w:rsid w:val="00813FE2"/>
    <w:rsid w:val="00815680"/>
    <w:rsid w:val="0082190D"/>
    <w:rsid w:val="00821F52"/>
    <w:rsid w:val="008267C5"/>
    <w:rsid w:val="00826BF7"/>
    <w:rsid w:val="00832D5C"/>
    <w:rsid w:val="00834CC2"/>
    <w:rsid w:val="008358C2"/>
    <w:rsid w:val="00844130"/>
    <w:rsid w:val="00845835"/>
    <w:rsid w:val="00850139"/>
    <w:rsid w:val="00850D20"/>
    <w:rsid w:val="00857757"/>
    <w:rsid w:val="00862103"/>
    <w:rsid w:val="008633C5"/>
    <w:rsid w:val="00863948"/>
    <w:rsid w:val="0086662E"/>
    <w:rsid w:val="0086709D"/>
    <w:rsid w:val="00870EBD"/>
    <w:rsid w:val="00873113"/>
    <w:rsid w:val="00873977"/>
    <w:rsid w:val="00874F1E"/>
    <w:rsid w:val="0087710B"/>
    <w:rsid w:val="00880CB2"/>
    <w:rsid w:val="00882226"/>
    <w:rsid w:val="0088223A"/>
    <w:rsid w:val="008826FC"/>
    <w:rsid w:val="00882761"/>
    <w:rsid w:val="00883909"/>
    <w:rsid w:val="0089102F"/>
    <w:rsid w:val="0089206E"/>
    <w:rsid w:val="00892E96"/>
    <w:rsid w:val="00893FC3"/>
    <w:rsid w:val="00895513"/>
    <w:rsid w:val="00897334"/>
    <w:rsid w:val="008A2783"/>
    <w:rsid w:val="008A58EF"/>
    <w:rsid w:val="008A5B26"/>
    <w:rsid w:val="008A6970"/>
    <w:rsid w:val="008B19F9"/>
    <w:rsid w:val="008B2420"/>
    <w:rsid w:val="008B3208"/>
    <w:rsid w:val="008B69AC"/>
    <w:rsid w:val="008C1B1E"/>
    <w:rsid w:val="008C2236"/>
    <w:rsid w:val="008C3186"/>
    <w:rsid w:val="008C3844"/>
    <w:rsid w:val="008C3F07"/>
    <w:rsid w:val="008C45F5"/>
    <w:rsid w:val="008D0BA1"/>
    <w:rsid w:val="008D1271"/>
    <w:rsid w:val="008D1C16"/>
    <w:rsid w:val="008D2911"/>
    <w:rsid w:val="008D7547"/>
    <w:rsid w:val="008D7B30"/>
    <w:rsid w:val="008E0C63"/>
    <w:rsid w:val="008E1460"/>
    <w:rsid w:val="008E395E"/>
    <w:rsid w:val="008E3A0A"/>
    <w:rsid w:val="008E5BA4"/>
    <w:rsid w:val="008E6875"/>
    <w:rsid w:val="008E7A73"/>
    <w:rsid w:val="008F06F1"/>
    <w:rsid w:val="008F0AE4"/>
    <w:rsid w:val="008F1635"/>
    <w:rsid w:val="008F2973"/>
    <w:rsid w:val="008F383B"/>
    <w:rsid w:val="008F3BC9"/>
    <w:rsid w:val="008F592F"/>
    <w:rsid w:val="008F6C2C"/>
    <w:rsid w:val="0090479D"/>
    <w:rsid w:val="009055F8"/>
    <w:rsid w:val="00910169"/>
    <w:rsid w:val="00916074"/>
    <w:rsid w:val="00917741"/>
    <w:rsid w:val="00923324"/>
    <w:rsid w:val="009249AC"/>
    <w:rsid w:val="00925C1E"/>
    <w:rsid w:val="009262B8"/>
    <w:rsid w:val="00930E7D"/>
    <w:rsid w:val="00931694"/>
    <w:rsid w:val="00940872"/>
    <w:rsid w:val="00942EFD"/>
    <w:rsid w:val="0094566B"/>
    <w:rsid w:val="00947E54"/>
    <w:rsid w:val="00950A31"/>
    <w:rsid w:val="009528D9"/>
    <w:rsid w:val="00953B76"/>
    <w:rsid w:val="00953D82"/>
    <w:rsid w:val="00954092"/>
    <w:rsid w:val="009548B4"/>
    <w:rsid w:val="00954D74"/>
    <w:rsid w:val="00956551"/>
    <w:rsid w:val="00956DBC"/>
    <w:rsid w:val="009617BC"/>
    <w:rsid w:val="009657AC"/>
    <w:rsid w:val="0097046A"/>
    <w:rsid w:val="009704E2"/>
    <w:rsid w:val="009704F8"/>
    <w:rsid w:val="00970D75"/>
    <w:rsid w:val="00970E96"/>
    <w:rsid w:val="00971034"/>
    <w:rsid w:val="0097479C"/>
    <w:rsid w:val="00974B43"/>
    <w:rsid w:val="00974DAD"/>
    <w:rsid w:val="00975C26"/>
    <w:rsid w:val="00980000"/>
    <w:rsid w:val="009807A4"/>
    <w:rsid w:val="00980941"/>
    <w:rsid w:val="009812AA"/>
    <w:rsid w:val="009847E4"/>
    <w:rsid w:val="0098764B"/>
    <w:rsid w:val="00987DEE"/>
    <w:rsid w:val="00990022"/>
    <w:rsid w:val="00993C3C"/>
    <w:rsid w:val="00993DA4"/>
    <w:rsid w:val="00995956"/>
    <w:rsid w:val="00996684"/>
    <w:rsid w:val="009A05DA"/>
    <w:rsid w:val="009A0750"/>
    <w:rsid w:val="009A0B24"/>
    <w:rsid w:val="009A10A0"/>
    <w:rsid w:val="009A1522"/>
    <w:rsid w:val="009A1E67"/>
    <w:rsid w:val="009A3B4F"/>
    <w:rsid w:val="009A48BF"/>
    <w:rsid w:val="009A5069"/>
    <w:rsid w:val="009A68C2"/>
    <w:rsid w:val="009A7C89"/>
    <w:rsid w:val="009B1C3E"/>
    <w:rsid w:val="009B1CAC"/>
    <w:rsid w:val="009B3459"/>
    <w:rsid w:val="009B61E7"/>
    <w:rsid w:val="009B70FF"/>
    <w:rsid w:val="009C12E8"/>
    <w:rsid w:val="009C24CB"/>
    <w:rsid w:val="009C5BD3"/>
    <w:rsid w:val="009D002F"/>
    <w:rsid w:val="009D0DD8"/>
    <w:rsid w:val="009D1C80"/>
    <w:rsid w:val="009D5575"/>
    <w:rsid w:val="009E047A"/>
    <w:rsid w:val="009E3F8F"/>
    <w:rsid w:val="009E7E55"/>
    <w:rsid w:val="009F34B6"/>
    <w:rsid w:val="009F40CF"/>
    <w:rsid w:val="009F46B8"/>
    <w:rsid w:val="009F4887"/>
    <w:rsid w:val="009F5A66"/>
    <w:rsid w:val="009F5E16"/>
    <w:rsid w:val="009F64B6"/>
    <w:rsid w:val="009F65A1"/>
    <w:rsid w:val="009F7AE4"/>
    <w:rsid w:val="00A00A1D"/>
    <w:rsid w:val="00A0270A"/>
    <w:rsid w:val="00A05813"/>
    <w:rsid w:val="00A1224E"/>
    <w:rsid w:val="00A12730"/>
    <w:rsid w:val="00A13EA6"/>
    <w:rsid w:val="00A174DC"/>
    <w:rsid w:val="00A17AB0"/>
    <w:rsid w:val="00A207FD"/>
    <w:rsid w:val="00A22BD5"/>
    <w:rsid w:val="00A22CA8"/>
    <w:rsid w:val="00A25D7D"/>
    <w:rsid w:val="00A26F47"/>
    <w:rsid w:val="00A27F76"/>
    <w:rsid w:val="00A31012"/>
    <w:rsid w:val="00A31C26"/>
    <w:rsid w:val="00A35C40"/>
    <w:rsid w:val="00A3742B"/>
    <w:rsid w:val="00A420CE"/>
    <w:rsid w:val="00A4410B"/>
    <w:rsid w:val="00A50099"/>
    <w:rsid w:val="00A53146"/>
    <w:rsid w:val="00A60019"/>
    <w:rsid w:val="00A627C0"/>
    <w:rsid w:val="00A63D06"/>
    <w:rsid w:val="00A64A64"/>
    <w:rsid w:val="00A655F4"/>
    <w:rsid w:val="00A65882"/>
    <w:rsid w:val="00A7066C"/>
    <w:rsid w:val="00A714C2"/>
    <w:rsid w:val="00A71E55"/>
    <w:rsid w:val="00A74407"/>
    <w:rsid w:val="00A74C6D"/>
    <w:rsid w:val="00A74D36"/>
    <w:rsid w:val="00A7582F"/>
    <w:rsid w:val="00A75F5E"/>
    <w:rsid w:val="00A80413"/>
    <w:rsid w:val="00A808DA"/>
    <w:rsid w:val="00A819C2"/>
    <w:rsid w:val="00A82301"/>
    <w:rsid w:val="00A83210"/>
    <w:rsid w:val="00A84A7B"/>
    <w:rsid w:val="00A86B05"/>
    <w:rsid w:val="00A86F5B"/>
    <w:rsid w:val="00A90EBF"/>
    <w:rsid w:val="00A9228C"/>
    <w:rsid w:val="00A940A4"/>
    <w:rsid w:val="00A94804"/>
    <w:rsid w:val="00A94B4F"/>
    <w:rsid w:val="00AA07F7"/>
    <w:rsid w:val="00AA0F9F"/>
    <w:rsid w:val="00AA437F"/>
    <w:rsid w:val="00AA5AE5"/>
    <w:rsid w:val="00AA7E42"/>
    <w:rsid w:val="00AB12F5"/>
    <w:rsid w:val="00AB43D8"/>
    <w:rsid w:val="00AB4EF5"/>
    <w:rsid w:val="00AB513D"/>
    <w:rsid w:val="00AB5996"/>
    <w:rsid w:val="00AB6B6D"/>
    <w:rsid w:val="00AB7DED"/>
    <w:rsid w:val="00AB7E7E"/>
    <w:rsid w:val="00AC08A7"/>
    <w:rsid w:val="00AC0A83"/>
    <w:rsid w:val="00AC2A78"/>
    <w:rsid w:val="00AC2F8C"/>
    <w:rsid w:val="00AC372A"/>
    <w:rsid w:val="00AC4103"/>
    <w:rsid w:val="00AC4920"/>
    <w:rsid w:val="00AC4DDC"/>
    <w:rsid w:val="00AC64ED"/>
    <w:rsid w:val="00AC7504"/>
    <w:rsid w:val="00AD2288"/>
    <w:rsid w:val="00AD5384"/>
    <w:rsid w:val="00AD7EA4"/>
    <w:rsid w:val="00AE0061"/>
    <w:rsid w:val="00AE0A07"/>
    <w:rsid w:val="00AE3CC8"/>
    <w:rsid w:val="00AE5B65"/>
    <w:rsid w:val="00AE71F7"/>
    <w:rsid w:val="00AF1626"/>
    <w:rsid w:val="00AF3C61"/>
    <w:rsid w:val="00AF3C7B"/>
    <w:rsid w:val="00AF739C"/>
    <w:rsid w:val="00B01716"/>
    <w:rsid w:val="00B03574"/>
    <w:rsid w:val="00B037D3"/>
    <w:rsid w:val="00B044B0"/>
    <w:rsid w:val="00B059DA"/>
    <w:rsid w:val="00B1465E"/>
    <w:rsid w:val="00B16024"/>
    <w:rsid w:val="00B1604C"/>
    <w:rsid w:val="00B16312"/>
    <w:rsid w:val="00B168A4"/>
    <w:rsid w:val="00B23025"/>
    <w:rsid w:val="00B241E3"/>
    <w:rsid w:val="00B27522"/>
    <w:rsid w:val="00B27968"/>
    <w:rsid w:val="00B32093"/>
    <w:rsid w:val="00B32545"/>
    <w:rsid w:val="00B3384F"/>
    <w:rsid w:val="00B344EA"/>
    <w:rsid w:val="00B36766"/>
    <w:rsid w:val="00B36EA7"/>
    <w:rsid w:val="00B370FF"/>
    <w:rsid w:val="00B416CE"/>
    <w:rsid w:val="00B42AC4"/>
    <w:rsid w:val="00B42B9F"/>
    <w:rsid w:val="00B46ADD"/>
    <w:rsid w:val="00B479F1"/>
    <w:rsid w:val="00B47A9A"/>
    <w:rsid w:val="00B51367"/>
    <w:rsid w:val="00B51531"/>
    <w:rsid w:val="00B516C6"/>
    <w:rsid w:val="00B5198B"/>
    <w:rsid w:val="00B53C40"/>
    <w:rsid w:val="00B54418"/>
    <w:rsid w:val="00B57C96"/>
    <w:rsid w:val="00B60631"/>
    <w:rsid w:val="00B6188B"/>
    <w:rsid w:val="00B61E45"/>
    <w:rsid w:val="00B624A7"/>
    <w:rsid w:val="00B62EBA"/>
    <w:rsid w:val="00B63036"/>
    <w:rsid w:val="00B63C60"/>
    <w:rsid w:val="00B66F11"/>
    <w:rsid w:val="00B67D7B"/>
    <w:rsid w:val="00B7032B"/>
    <w:rsid w:val="00B70EEC"/>
    <w:rsid w:val="00B7335F"/>
    <w:rsid w:val="00B73762"/>
    <w:rsid w:val="00B737DB"/>
    <w:rsid w:val="00B73B82"/>
    <w:rsid w:val="00B773E9"/>
    <w:rsid w:val="00B77653"/>
    <w:rsid w:val="00B81E0B"/>
    <w:rsid w:val="00B87129"/>
    <w:rsid w:val="00B87219"/>
    <w:rsid w:val="00B97B25"/>
    <w:rsid w:val="00B97D19"/>
    <w:rsid w:val="00BA16F6"/>
    <w:rsid w:val="00BA25A8"/>
    <w:rsid w:val="00BA26B0"/>
    <w:rsid w:val="00BA4A19"/>
    <w:rsid w:val="00BA609E"/>
    <w:rsid w:val="00BA7299"/>
    <w:rsid w:val="00BA75C2"/>
    <w:rsid w:val="00BB1DF1"/>
    <w:rsid w:val="00BB320D"/>
    <w:rsid w:val="00BB4BAF"/>
    <w:rsid w:val="00BB4E40"/>
    <w:rsid w:val="00BC0845"/>
    <w:rsid w:val="00BC2EA3"/>
    <w:rsid w:val="00BC3F80"/>
    <w:rsid w:val="00BC56DC"/>
    <w:rsid w:val="00BC5A6E"/>
    <w:rsid w:val="00BC6EE8"/>
    <w:rsid w:val="00BD0B85"/>
    <w:rsid w:val="00BD14B7"/>
    <w:rsid w:val="00BD2F19"/>
    <w:rsid w:val="00BD34F6"/>
    <w:rsid w:val="00BD458D"/>
    <w:rsid w:val="00BD7E81"/>
    <w:rsid w:val="00BD7F15"/>
    <w:rsid w:val="00BE1172"/>
    <w:rsid w:val="00BE340E"/>
    <w:rsid w:val="00BE34FB"/>
    <w:rsid w:val="00BE4518"/>
    <w:rsid w:val="00BE4F14"/>
    <w:rsid w:val="00BE5E8B"/>
    <w:rsid w:val="00BE7632"/>
    <w:rsid w:val="00BF02AA"/>
    <w:rsid w:val="00BF4924"/>
    <w:rsid w:val="00BF591A"/>
    <w:rsid w:val="00BF6AD2"/>
    <w:rsid w:val="00C00B66"/>
    <w:rsid w:val="00C01127"/>
    <w:rsid w:val="00C023EF"/>
    <w:rsid w:val="00C0395E"/>
    <w:rsid w:val="00C04DD7"/>
    <w:rsid w:val="00C0646D"/>
    <w:rsid w:val="00C11900"/>
    <w:rsid w:val="00C13BC7"/>
    <w:rsid w:val="00C20CFD"/>
    <w:rsid w:val="00C2118F"/>
    <w:rsid w:val="00C22ED1"/>
    <w:rsid w:val="00C24D44"/>
    <w:rsid w:val="00C25544"/>
    <w:rsid w:val="00C30481"/>
    <w:rsid w:val="00C352CA"/>
    <w:rsid w:val="00C3595F"/>
    <w:rsid w:val="00C40553"/>
    <w:rsid w:val="00C40E12"/>
    <w:rsid w:val="00C449D3"/>
    <w:rsid w:val="00C44BD5"/>
    <w:rsid w:val="00C46510"/>
    <w:rsid w:val="00C46ADA"/>
    <w:rsid w:val="00C47E22"/>
    <w:rsid w:val="00C50A50"/>
    <w:rsid w:val="00C5134D"/>
    <w:rsid w:val="00C52B2D"/>
    <w:rsid w:val="00C54515"/>
    <w:rsid w:val="00C547EB"/>
    <w:rsid w:val="00C55E7C"/>
    <w:rsid w:val="00C56339"/>
    <w:rsid w:val="00C56917"/>
    <w:rsid w:val="00C5699A"/>
    <w:rsid w:val="00C618B4"/>
    <w:rsid w:val="00C61D92"/>
    <w:rsid w:val="00C62154"/>
    <w:rsid w:val="00C628C9"/>
    <w:rsid w:val="00C6298C"/>
    <w:rsid w:val="00C6441E"/>
    <w:rsid w:val="00C6608B"/>
    <w:rsid w:val="00C7027A"/>
    <w:rsid w:val="00C70B55"/>
    <w:rsid w:val="00C76988"/>
    <w:rsid w:val="00C7763C"/>
    <w:rsid w:val="00C77EC8"/>
    <w:rsid w:val="00C84C57"/>
    <w:rsid w:val="00C87FE0"/>
    <w:rsid w:val="00C92C86"/>
    <w:rsid w:val="00C94600"/>
    <w:rsid w:val="00C949C3"/>
    <w:rsid w:val="00C96281"/>
    <w:rsid w:val="00C97EC3"/>
    <w:rsid w:val="00CA295C"/>
    <w:rsid w:val="00CA30A8"/>
    <w:rsid w:val="00CA5B00"/>
    <w:rsid w:val="00CA64E1"/>
    <w:rsid w:val="00CB0382"/>
    <w:rsid w:val="00CB1862"/>
    <w:rsid w:val="00CB1FC2"/>
    <w:rsid w:val="00CB2C92"/>
    <w:rsid w:val="00CB41C5"/>
    <w:rsid w:val="00CB5F5C"/>
    <w:rsid w:val="00CB74CF"/>
    <w:rsid w:val="00CC3541"/>
    <w:rsid w:val="00CC38EC"/>
    <w:rsid w:val="00CC7DE2"/>
    <w:rsid w:val="00CD098C"/>
    <w:rsid w:val="00CD0DB2"/>
    <w:rsid w:val="00CD1094"/>
    <w:rsid w:val="00CD3777"/>
    <w:rsid w:val="00CD391B"/>
    <w:rsid w:val="00CD3C60"/>
    <w:rsid w:val="00CD616D"/>
    <w:rsid w:val="00CD6465"/>
    <w:rsid w:val="00CE213B"/>
    <w:rsid w:val="00CE300D"/>
    <w:rsid w:val="00CE31D2"/>
    <w:rsid w:val="00CE6528"/>
    <w:rsid w:val="00CE734B"/>
    <w:rsid w:val="00CF0805"/>
    <w:rsid w:val="00CF19F0"/>
    <w:rsid w:val="00CF2978"/>
    <w:rsid w:val="00CF6088"/>
    <w:rsid w:val="00CF7D2C"/>
    <w:rsid w:val="00D04F43"/>
    <w:rsid w:val="00D05A90"/>
    <w:rsid w:val="00D11C12"/>
    <w:rsid w:val="00D132DA"/>
    <w:rsid w:val="00D135CD"/>
    <w:rsid w:val="00D14F0D"/>
    <w:rsid w:val="00D1656E"/>
    <w:rsid w:val="00D166F4"/>
    <w:rsid w:val="00D16E75"/>
    <w:rsid w:val="00D22905"/>
    <w:rsid w:val="00D2422D"/>
    <w:rsid w:val="00D2468C"/>
    <w:rsid w:val="00D24FD5"/>
    <w:rsid w:val="00D31DB9"/>
    <w:rsid w:val="00D3290D"/>
    <w:rsid w:val="00D3391E"/>
    <w:rsid w:val="00D34FA9"/>
    <w:rsid w:val="00D408F4"/>
    <w:rsid w:val="00D44E61"/>
    <w:rsid w:val="00D45108"/>
    <w:rsid w:val="00D50436"/>
    <w:rsid w:val="00D51943"/>
    <w:rsid w:val="00D53892"/>
    <w:rsid w:val="00D53F45"/>
    <w:rsid w:val="00D5631E"/>
    <w:rsid w:val="00D64B4E"/>
    <w:rsid w:val="00D7050F"/>
    <w:rsid w:val="00D70B0E"/>
    <w:rsid w:val="00D73DBF"/>
    <w:rsid w:val="00D74557"/>
    <w:rsid w:val="00D75B80"/>
    <w:rsid w:val="00D81373"/>
    <w:rsid w:val="00D8167C"/>
    <w:rsid w:val="00D825A9"/>
    <w:rsid w:val="00D84C15"/>
    <w:rsid w:val="00D84E09"/>
    <w:rsid w:val="00D870F7"/>
    <w:rsid w:val="00D87FA1"/>
    <w:rsid w:val="00D90538"/>
    <w:rsid w:val="00D91C6A"/>
    <w:rsid w:val="00D91E35"/>
    <w:rsid w:val="00D921AC"/>
    <w:rsid w:val="00D9256A"/>
    <w:rsid w:val="00D93076"/>
    <w:rsid w:val="00D94003"/>
    <w:rsid w:val="00D94977"/>
    <w:rsid w:val="00D94D15"/>
    <w:rsid w:val="00DA3510"/>
    <w:rsid w:val="00DA4774"/>
    <w:rsid w:val="00DA7F99"/>
    <w:rsid w:val="00DB1615"/>
    <w:rsid w:val="00DB1686"/>
    <w:rsid w:val="00DB2557"/>
    <w:rsid w:val="00DB40AF"/>
    <w:rsid w:val="00DB5F70"/>
    <w:rsid w:val="00DB61C6"/>
    <w:rsid w:val="00DC1256"/>
    <w:rsid w:val="00DC2A73"/>
    <w:rsid w:val="00DC2DED"/>
    <w:rsid w:val="00DC2FF5"/>
    <w:rsid w:val="00DC3AB8"/>
    <w:rsid w:val="00DC703D"/>
    <w:rsid w:val="00DD06EB"/>
    <w:rsid w:val="00DD1910"/>
    <w:rsid w:val="00DD19F7"/>
    <w:rsid w:val="00DD27C8"/>
    <w:rsid w:val="00DD4E30"/>
    <w:rsid w:val="00DD71F0"/>
    <w:rsid w:val="00DE02CF"/>
    <w:rsid w:val="00DE1026"/>
    <w:rsid w:val="00DE1462"/>
    <w:rsid w:val="00DE40F0"/>
    <w:rsid w:val="00DE436E"/>
    <w:rsid w:val="00DE49AE"/>
    <w:rsid w:val="00DF05FD"/>
    <w:rsid w:val="00DF2AC4"/>
    <w:rsid w:val="00DF36DA"/>
    <w:rsid w:val="00E00031"/>
    <w:rsid w:val="00E03436"/>
    <w:rsid w:val="00E046C1"/>
    <w:rsid w:val="00E05F17"/>
    <w:rsid w:val="00E10BC7"/>
    <w:rsid w:val="00E10C9A"/>
    <w:rsid w:val="00E11C1E"/>
    <w:rsid w:val="00E164F0"/>
    <w:rsid w:val="00E17FD6"/>
    <w:rsid w:val="00E21BAC"/>
    <w:rsid w:val="00E24BAF"/>
    <w:rsid w:val="00E26C70"/>
    <w:rsid w:val="00E26DD7"/>
    <w:rsid w:val="00E27BEC"/>
    <w:rsid w:val="00E315FC"/>
    <w:rsid w:val="00E32B69"/>
    <w:rsid w:val="00E33DE8"/>
    <w:rsid w:val="00E3531D"/>
    <w:rsid w:val="00E356E6"/>
    <w:rsid w:val="00E35A4E"/>
    <w:rsid w:val="00E36244"/>
    <w:rsid w:val="00E40E7D"/>
    <w:rsid w:val="00E42036"/>
    <w:rsid w:val="00E420FE"/>
    <w:rsid w:val="00E42459"/>
    <w:rsid w:val="00E453D3"/>
    <w:rsid w:val="00E5120C"/>
    <w:rsid w:val="00E52073"/>
    <w:rsid w:val="00E52430"/>
    <w:rsid w:val="00E5364B"/>
    <w:rsid w:val="00E5385E"/>
    <w:rsid w:val="00E54A0C"/>
    <w:rsid w:val="00E562F7"/>
    <w:rsid w:val="00E64B8D"/>
    <w:rsid w:val="00E64C3D"/>
    <w:rsid w:val="00E67B05"/>
    <w:rsid w:val="00E71491"/>
    <w:rsid w:val="00E73429"/>
    <w:rsid w:val="00E73697"/>
    <w:rsid w:val="00E75AF8"/>
    <w:rsid w:val="00E81CDD"/>
    <w:rsid w:val="00E83E9F"/>
    <w:rsid w:val="00E83EBB"/>
    <w:rsid w:val="00E84B43"/>
    <w:rsid w:val="00E85EBE"/>
    <w:rsid w:val="00E86423"/>
    <w:rsid w:val="00E907B1"/>
    <w:rsid w:val="00E93453"/>
    <w:rsid w:val="00E93DE7"/>
    <w:rsid w:val="00E944B0"/>
    <w:rsid w:val="00E97EF6"/>
    <w:rsid w:val="00EA0120"/>
    <w:rsid w:val="00EA6886"/>
    <w:rsid w:val="00EB05B8"/>
    <w:rsid w:val="00EB1AAF"/>
    <w:rsid w:val="00EB4396"/>
    <w:rsid w:val="00EB4A54"/>
    <w:rsid w:val="00EB7683"/>
    <w:rsid w:val="00EB7A05"/>
    <w:rsid w:val="00EC4DDA"/>
    <w:rsid w:val="00EC65F7"/>
    <w:rsid w:val="00EC68CA"/>
    <w:rsid w:val="00EC69A8"/>
    <w:rsid w:val="00EC71D5"/>
    <w:rsid w:val="00EC7E8E"/>
    <w:rsid w:val="00ED1D92"/>
    <w:rsid w:val="00ED26D8"/>
    <w:rsid w:val="00ED35FE"/>
    <w:rsid w:val="00ED49AE"/>
    <w:rsid w:val="00ED6925"/>
    <w:rsid w:val="00ED7CA7"/>
    <w:rsid w:val="00EE2EE6"/>
    <w:rsid w:val="00EE3355"/>
    <w:rsid w:val="00EE38F8"/>
    <w:rsid w:val="00EF170E"/>
    <w:rsid w:val="00EF2B2A"/>
    <w:rsid w:val="00EF304F"/>
    <w:rsid w:val="00EF41BE"/>
    <w:rsid w:val="00EF6A41"/>
    <w:rsid w:val="00EF7904"/>
    <w:rsid w:val="00F00FB9"/>
    <w:rsid w:val="00F0383E"/>
    <w:rsid w:val="00F04685"/>
    <w:rsid w:val="00F04E80"/>
    <w:rsid w:val="00F05A0E"/>
    <w:rsid w:val="00F06195"/>
    <w:rsid w:val="00F06F5A"/>
    <w:rsid w:val="00F07E1C"/>
    <w:rsid w:val="00F1095F"/>
    <w:rsid w:val="00F12310"/>
    <w:rsid w:val="00F14470"/>
    <w:rsid w:val="00F14D4D"/>
    <w:rsid w:val="00F1559F"/>
    <w:rsid w:val="00F1575B"/>
    <w:rsid w:val="00F15F31"/>
    <w:rsid w:val="00F161BE"/>
    <w:rsid w:val="00F16388"/>
    <w:rsid w:val="00F168BE"/>
    <w:rsid w:val="00F23369"/>
    <w:rsid w:val="00F268C9"/>
    <w:rsid w:val="00F26D61"/>
    <w:rsid w:val="00F30312"/>
    <w:rsid w:val="00F31D06"/>
    <w:rsid w:val="00F34850"/>
    <w:rsid w:val="00F365FC"/>
    <w:rsid w:val="00F368B9"/>
    <w:rsid w:val="00F37A0E"/>
    <w:rsid w:val="00F40075"/>
    <w:rsid w:val="00F411E6"/>
    <w:rsid w:val="00F42578"/>
    <w:rsid w:val="00F45983"/>
    <w:rsid w:val="00F45C80"/>
    <w:rsid w:val="00F46540"/>
    <w:rsid w:val="00F471A8"/>
    <w:rsid w:val="00F5159B"/>
    <w:rsid w:val="00F53616"/>
    <w:rsid w:val="00F549A2"/>
    <w:rsid w:val="00F63FCE"/>
    <w:rsid w:val="00F658AA"/>
    <w:rsid w:val="00F661AD"/>
    <w:rsid w:val="00F6657A"/>
    <w:rsid w:val="00F66FEB"/>
    <w:rsid w:val="00F701AD"/>
    <w:rsid w:val="00F70405"/>
    <w:rsid w:val="00F72492"/>
    <w:rsid w:val="00F72DEB"/>
    <w:rsid w:val="00F7510C"/>
    <w:rsid w:val="00F75CD9"/>
    <w:rsid w:val="00F80794"/>
    <w:rsid w:val="00F8269F"/>
    <w:rsid w:val="00F82EDB"/>
    <w:rsid w:val="00F87DB6"/>
    <w:rsid w:val="00F9259B"/>
    <w:rsid w:val="00F935E4"/>
    <w:rsid w:val="00F94523"/>
    <w:rsid w:val="00F9583E"/>
    <w:rsid w:val="00F95870"/>
    <w:rsid w:val="00F95D77"/>
    <w:rsid w:val="00F96B04"/>
    <w:rsid w:val="00FA0B99"/>
    <w:rsid w:val="00FA3778"/>
    <w:rsid w:val="00FA4ECC"/>
    <w:rsid w:val="00FA7328"/>
    <w:rsid w:val="00FB06BE"/>
    <w:rsid w:val="00FB0BE6"/>
    <w:rsid w:val="00FB1EE0"/>
    <w:rsid w:val="00FB4D83"/>
    <w:rsid w:val="00FB5416"/>
    <w:rsid w:val="00FB69DC"/>
    <w:rsid w:val="00FC19B2"/>
    <w:rsid w:val="00FC4143"/>
    <w:rsid w:val="00FC4B42"/>
    <w:rsid w:val="00FC5CED"/>
    <w:rsid w:val="00FD07B3"/>
    <w:rsid w:val="00FD4626"/>
    <w:rsid w:val="00FD4CDC"/>
    <w:rsid w:val="00FD5206"/>
    <w:rsid w:val="00FD6A5B"/>
    <w:rsid w:val="00FE01E5"/>
    <w:rsid w:val="00FE16B1"/>
    <w:rsid w:val="00FE1AC7"/>
    <w:rsid w:val="00FE31BD"/>
    <w:rsid w:val="00FE3B94"/>
    <w:rsid w:val="00FE5B7A"/>
    <w:rsid w:val="00FF0B68"/>
    <w:rsid w:val="00FF0EE9"/>
    <w:rsid w:val="00FF1211"/>
    <w:rsid w:val="00FF12A4"/>
    <w:rsid w:val="00FF2A12"/>
    <w:rsid w:val="00FF2CF4"/>
    <w:rsid w:val="00FF3907"/>
    <w:rsid w:val="00FF3E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befor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4FA9"/>
    <w:pPr>
      <w:spacing w:line="360" w:lineRule="auto"/>
      <w:ind w:firstLine="709"/>
    </w:pPr>
    <w:rPr>
      <w:rFonts w:ascii="Times New Roman" w:hAnsi="Times New Roman"/>
      <w:sz w:val="24"/>
    </w:rPr>
  </w:style>
  <w:style w:type="paragraph" w:styleId="Nadpis1">
    <w:name w:val="heading 1"/>
    <w:basedOn w:val="Normln"/>
    <w:next w:val="Normln"/>
    <w:link w:val="Nadpis1Char"/>
    <w:qFormat/>
    <w:rsid w:val="00A80413"/>
    <w:pPr>
      <w:keepNext/>
      <w:keepLines/>
      <w:spacing w:before="480" w:after="480"/>
      <w:outlineLvl w:val="0"/>
    </w:pPr>
    <w:rPr>
      <w:rFonts w:eastAsiaTheme="majorEastAsia" w:cstheme="majorBidi"/>
      <w:b/>
      <w:bCs/>
      <w:caps/>
      <w:sz w:val="28"/>
      <w:szCs w:val="28"/>
    </w:rPr>
  </w:style>
  <w:style w:type="paragraph" w:styleId="Nadpis2">
    <w:name w:val="heading 2"/>
    <w:basedOn w:val="Normln"/>
    <w:next w:val="Normln"/>
    <w:link w:val="Nadpis2Char"/>
    <w:unhideWhenUsed/>
    <w:qFormat/>
    <w:rsid w:val="00017F20"/>
    <w:pPr>
      <w:keepNext/>
      <w:keepLines/>
      <w:spacing w:before="280" w:after="280"/>
      <w:outlineLvl w:val="1"/>
    </w:pPr>
    <w:rPr>
      <w:rFonts w:eastAsiaTheme="majorEastAsia" w:cstheme="majorBidi"/>
      <w:b/>
      <w:bCs/>
      <w:sz w:val="26"/>
      <w:szCs w:val="26"/>
    </w:rPr>
  </w:style>
  <w:style w:type="paragraph" w:styleId="Nadpis3">
    <w:name w:val="heading 3"/>
    <w:basedOn w:val="Normln"/>
    <w:next w:val="Normln"/>
    <w:link w:val="Nadpis3Char"/>
    <w:unhideWhenUsed/>
    <w:qFormat/>
    <w:rsid w:val="00017F20"/>
    <w:pPr>
      <w:keepNext/>
      <w:keepLines/>
      <w:spacing w:before="240" w:after="240"/>
      <w:outlineLvl w:val="2"/>
    </w:pPr>
    <w:rPr>
      <w:rFonts w:eastAsiaTheme="majorEastAsia" w:cstheme="majorBidi"/>
      <w:b/>
      <w:bCs/>
    </w:rPr>
  </w:style>
  <w:style w:type="paragraph" w:styleId="Nadpis4">
    <w:name w:val="heading 4"/>
    <w:basedOn w:val="Normln"/>
    <w:next w:val="Normln"/>
    <w:link w:val="Nadpis4Char"/>
    <w:unhideWhenUsed/>
    <w:qFormat/>
    <w:rsid w:val="00620BFE"/>
    <w:pPr>
      <w:keepNext/>
      <w:keepLines/>
      <w:outlineLvl w:val="3"/>
    </w:pPr>
    <w:rPr>
      <w:rFonts w:eastAsia="Times New Roman" w:cs="Times New Roman"/>
      <w:bCs/>
      <w:szCs w:val="28"/>
    </w:rPr>
  </w:style>
  <w:style w:type="paragraph" w:styleId="Nadpis5">
    <w:name w:val="heading 5"/>
    <w:basedOn w:val="Normln"/>
    <w:next w:val="Normln"/>
    <w:link w:val="Nadpis5Char"/>
    <w:uiPriority w:val="9"/>
    <w:unhideWhenUsed/>
    <w:qFormat/>
    <w:rsid w:val="003776DA"/>
    <w:pPr>
      <w:keepNext/>
      <w:keepLines/>
      <w:outlineLvl w:val="4"/>
    </w:pPr>
    <w:rPr>
      <w:rFonts w:ascii="Calibri" w:eastAsia="Times New Roman" w:hAnsi="Calibri" w:cs="Times New Roman"/>
      <w:b/>
      <w:bCs/>
      <w:i/>
      <w:iCs/>
      <w:sz w:val="26"/>
      <w:szCs w:val="26"/>
    </w:rPr>
  </w:style>
  <w:style w:type="paragraph" w:styleId="Nadpis6">
    <w:name w:val="heading 6"/>
    <w:basedOn w:val="Normln"/>
    <w:next w:val="Normln"/>
    <w:link w:val="Nadpis6Char"/>
    <w:qFormat/>
    <w:rsid w:val="003776DA"/>
    <w:pPr>
      <w:tabs>
        <w:tab w:val="num" w:pos="4320"/>
      </w:tabs>
      <w:spacing w:before="240" w:after="60" w:line="240" w:lineRule="auto"/>
      <w:ind w:left="4320" w:hanging="720"/>
      <w:jc w:val="left"/>
      <w:outlineLvl w:val="5"/>
    </w:pPr>
    <w:rPr>
      <w:rFonts w:eastAsia="Times New Roman" w:cs="Times New Roman"/>
      <w:b/>
      <w:bCs/>
      <w:sz w:val="22"/>
      <w:lang w:val="en-US"/>
    </w:rPr>
  </w:style>
  <w:style w:type="paragraph" w:styleId="Nadpis7">
    <w:name w:val="heading 7"/>
    <w:basedOn w:val="Normln"/>
    <w:next w:val="Normln"/>
    <w:link w:val="Nadpis7Char"/>
    <w:uiPriority w:val="9"/>
    <w:semiHidden/>
    <w:unhideWhenUsed/>
    <w:qFormat/>
    <w:rsid w:val="003776DA"/>
    <w:pPr>
      <w:keepNext/>
      <w:keepLines/>
      <w:outlineLvl w:val="6"/>
    </w:pPr>
    <w:rPr>
      <w:rFonts w:ascii="Calibri" w:eastAsia="Times New Roman" w:hAnsi="Calibri" w:cs="Times New Roman"/>
      <w:szCs w:val="24"/>
    </w:rPr>
  </w:style>
  <w:style w:type="paragraph" w:styleId="Nadpis8">
    <w:name w:val="heading 8"/>
    <w:basedOn w:val="Normln"/>
    <w:next w:val="Normln"/>
    <w:link w:val="Nadpis8Char"/>
    <w:uiPriority w:val="9"/>
    <w:semiHidden/>
    <w:unhideWhenUsed/>
    <w:qFormat/>
    <w:rsid w:val="003776DA"/>
    <w:pPr>
      <w:keepNext/>
      <w:keepLines/>
      <w:outlineLvl w:val="7"/>
    </w:pPr>
    <w:rPr>
      <w:rFonts w:ascii="Calibri" w:eastAsia="Times New Roman" w:hAnsi="Calibri" w:cs="Times New Roman"/>
      <w:i/>
      <w:iCs/>
      <w:szCs w:val="24"/>
    </w:rPr>
  </w:style>
  <w:style w:type="paragraph" w:styleId="Nadpis9">
    <w:name w:val="heading 9"/>
    <w:basedOn w:val="Normln"/>
    <w:next w:val="Normln"/>
    <w:link w:val="Nadpis9Char"/>
    <w:uiPriority w:val="9"/>
    <w:semiHidden/>
    <w:unhideWhenUsed/>
    <w:qFormat/>
    <w:rsid w:val="003776DA"/>
    <w:pPr>
      <w:keepNext/>
      <w:keepLines/>
      <w:outlineLvl w:val="8"/>
    </w:pPr>
    <w:rPr>
      <w:rFonts w:ascii="Cambria" w:eastAsia="Times New Roman" w:hAnsi="Cambria" w:cs="Times New Roman"/>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BC2EA3"/>
    <w:rPr>
      <w:sz w:val="16"/>
      <w:szCs w:val="16"/>
    </w:rPr>
  </w:style>
  <w:style w:type="paragraph" w:styleId="Textkomente">
    <w:name w:val="annotation text"/>
    <w:basedOn w:val="Normln"/>
    <w:link w:val="TextkomenteChar"/>
    <w:uiPriority w:val="99"/>
    <w:semiHidden/>
    <w:unhideWhenUsed/>
    <w:rsid w:val="00BC2EA3"/>
    <w:rPr>
      <w:sz w:val="20"/>
      <w:szCs w:val="20"/>
    </w:rPr>
  </w:style>
  <w:style w:type="character" w:customStyle="1" w:styleId="TextkomenteChar">
    <w:name w:val="Text komentáře Char"/>
    <w:basedOn w:val="Standardnpsmoodstavce"/>
    <w:link w:val="Textkomente"/>
    <w:uiPriority w:val="99"/>
    <w:semiHidden/>
    <w:rsid w:val="00BC2EA3"/>
    <w:rPr>
      <w:sz w:val="20"/>
      <w:szCs w:val="20"/>
    </w:rPr>
  </w:style>
  <w:style w:type="paragraph" w:styleId="Pedmtkomente">
    <w:name w:val="annotation subject"/>
    <w:basedOn w:val="Textkomente"/>
    <w:next w:val="Textkomente"/>
    <w:link w:val="PedmtkomenteChar"/>
    <w:uiPriority w:val="99"/>
    <w:semiHidden/>
    <w:unhideWhenUsed/>
    <w:rsid w:val="00BC2EA3"/>
    <w:rPr>
      <w:b/>
      <w:bCs/>
    </w:rPr>
  </w:style>
  <w:style w:type="character" w:customStyle="1" w:styleId="PedmtkomenteChar">
    <w:name w:val="Předmět komentáře Char"/>
    <w:basedOn w:val="TextkomenteChar"/>
    <w:link w:val="Pedmtkomente"/>
    <w:uiPriority w:val="99"/>
    <w:semiHidden/>
    <w:rsid w:val="00BC2EA3"/>
    <w:rPr>
      <w:b/>
      <w:bCs/>
      <w:sz w:val="20"/>
      <w:szCs w:val="20"/>
    </w:rPr>
  </w:style>
  <w:style w:type="paragraph" w:styleId="Textbubliny">
    <w:name w:val="Balloon Text"/>
    <w:basedOn w:val="Normln"/>
    <w:link w:val="TextbublinyChar"/>
    <w:uiPriority w:val="99"/>
    <w:semiHidden/>
    <w:unhideWhenUsed/>
    <w:rsid w:val="00BC2EA3"/>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C2EA3"/>
    <w:rPr>
      <w:rFonts w:ascii="Tahoma" w:hAnsi="Tahoma" w:cs="Tahoma"/>
      <w:sz w:val="16"/>
      <w:szCs w:val="16"/>
    </w:rPr>
  </w:style>
  <w:style w:type="character" w:styleId="Siln">
    <w:name w:val="Strong"/>
    <w:basedOn w:val="Standardnpsmoodstavce"/>
    <w:uiPriority w:val="22"/>
    <w:qFormat/>
    <w:rsid w:val="00A84A7B"/>
    <w:rPr>
      <w:b/>
      <w:bCs/>
    </w:rPr>
  </w:style>
  <w:style w:type="paragraph" w:customStyle="1" w:styleId="ppt1">
    <w:name w:val="ppt1"/>
    <w:basedOn w:val="Normln"/>
    <w:rsid w:val="00BA4A19"/>
    <w:pPr>
      <w:spacing w:before="100" w:beforeAutospacing="1" w:after="100" w:afterAutospacing="1"/>
      <w:jc w:val="left"/>
    </w:pPr>
    <w:rPr>
      <w:rFonts w:eastAsia="Times New Roman" w:cs="Times New Roman"/>
      <w:szCs w:val="24"/>
      <w:lang w:eastAsia="cs-CZ"/>
    </w:rPr>
  </w:style>
  <w:style w:type="paragraph" w:styleId="Textpoznpodarou">
    <w:name w:val="footnote text"/>
    <w:basedOn w:val="Normln"/>
    <w:link w:val="TextpoznpodarouChar"/>
    <w:unhideWhenUsed/>
    <w:rsid w:val="00EC7E8E"/>
    <w:pPr>
      <w:spacing w:before="0"/>
    </w:pPr>
    <w:rPr>
      <w:sz w:val="20"/>
      <w:szCs w:val="20"/>
    </w:rPr>
  </w:style>
  <w:style w:type="character" w:customStyle="1" w:styleId="TextpoznpodarouChar">
    <w:name w:val="Text pozn. pod čarou Char"/>
    <w:basedOn w:val="Standardnpsmoodstavce"/>
    <w:link w:val="Textpoznpodarou"/>
    <w:uiPriority w:val="99"/>
    <w:rsid w:val="00EC7E8E"/>
    <w:rPr>
      <w:sz w:val="20"/>
      <w:szCs w:val="20"/>
    </w:rPr>
  </w:style>
  <w:style w:type="character" w:styleId="Znakapoznpodarou">
    <w:name w:val="footnote reference"/>
    <w:basedOn w:val="Standardnpsmoodstavce"/>
    <w:unhideWhenUsed/>
    <w:rsid w:val="00EC7E8E"/>
    <w:rPr>
      <w:vertAlign w:val="superscript"/>
    </w:rPr>
  </w:style>
  <w:style w:type="paragraph" w:customStyle="1" w:styleId="l8">
    <w:name w:val="l8"/>
    <w:basedOn w:val="Normln"/>
    <w:rsid w:val="00EC7E8E"/>
    <w:pPr>
      <w:spacing w:before="100" w:beforeAutospacing="1" w:after="100" w:afterAutospacing="1"/>
      <w:jc w:val="left"/>
    </w:pPr>
    <w:rPr>
      <w:rFonts w:eastAsia="Times New Roman" w:cs="Times New Roman"/>
      <w:szCs w:val="24"/>
      <w:lang w:eastAsia="cs-CZ"/>
    </w:rPr>
  </w:style>
  <w:style w:type="character" w:styleId="PromnnHTML">
    <w:name w:val="HTML Variable"/>
    <w:basedOn w:val="Standardnpsmoodstavce"/>
    <w:uiPriority w:val="99"/>
    <w:semiHidden/>
    <w:unhideWhenUsed/>
    <w:rsid w:val="00EC7E8E"/>
    <w:rPr>
      <w:i/>
      <w:iCs/>
    </w:rPr>
  </w:style>
  <w:style w:type="character" w:customStyle="1" w:styleId="apple-converted-space">
    <w:name w:val="apple-converted-space"/>
    <w:basedOn w:val="Standardnpsmoodstavce"/>
    <w:rsid w:val="00EC7E8E"/>
  </w:style>
  <w:style w:type="character" w:styleId="Hypertextovodkaz">
    <w:name w:val="Hyperlink"/>
    <w:basedOn w:val="Standardnpsmoodstavce"/>
    <w:uiPriority w:val="99"/>
    <w:unhideWhenUsed/>
    <w:rsid w:val="00052631"/>
    <w:rPr>
      <w:color w:val="0000FF"/>
      <w:u w:val="single"/>
    </w:rPr>
  </w:style>
  <w:style w:type="paragraph" w:styleId="Odstavecseseznamem">
    <w:name w:val="List Paragraph"/>
    <w:basedOn w:val="Normln"/>
    <w:qFormat/>
    <w:rsid w:val="00980000"/>
    <w:pPr>
      <w:ind w:left="720"/>
      <w:contextualSpacing/>
    </w:pPr>
  </w:style>
  <w:style w:type="character" w:customStyle="1" w:styleId="Nadpis1Char">
    <w:name w:val="Nadpis 1 Char"/>
    <w:basedOn w:val="Standardnpsmoodstavce"/>
    <w:link w:val="Nadpis1"/>
    <w:uiPriority w:val="9"/>
    <w:rsid w:val="00A80413"/>
    <w:rPr>
      <w:rFonts w:ascii="Times New Roman" w:eastAsiaTheme="majorEastAsia" w:hAnsi="Times New Roman" w:cstheme="majorBidi"/>
      <w:b/>
      <w:bCs/>
      <w:caps/>
      <w:sz w:val="28"/>
      <w:szCs w:val="28"/>
    </w:rPr>
  </w:style>
  <w:style w:type="paragraph" w:styleId="Nadpisobsahu">
    <w:name w:val="TOC Heading"/>
    <w:basedOn w:val="Nadpis1"/>
    <w:next w:val="Normln"/>
    <w:uiPriority w:val="39"/>
    <w:unhideWhenUsed/>
    <w:qFormat/>
    <w:rsid w:val="00E420FE"/>
    <w:pPr>
      <w:spacing w:line="276" w:lineRule="auto"/>
      <w:jc w:val="left"/>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A75F5E"/>
    <w:pPr>
      <w:tabs>
        <w:tab w:val="left" w:pos="567"/>
        <w:tab w:val="right" w:leader="dot" w:pos="7926"/>
      </w:tabs>
      <w:spacing w:after="100"/>
    </w:pPr>
  </w:style>
  <w:style w:type="character" w:customStyle="1" w:styleId="Nadpis2Char">
    <w:name w:val="Nadpis 2 Char"/>
    <w:basedOn w:val="Standardnpsmoodstavce"/>
    <w:link w:val="Nadpis2"/>
    <w:rsid w:val="00017F20"/>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rsid w:val="00017F20"/>
    <w:rPr>
      <w:rFonts w:ascii="Times New Roman" w:eastAsiaTheme="majorEastAsia" w:hAnsi="Times New Roman" w:cstheme="majorBidi"/>
      <w:b/>
      <w:bCs/>
      <w:sz w:val="24"/>
    </w:rPr>
  </w:style>
  <w:style w:type="paragraph" w:styleId="Obsah2">
    <w:name w:val="toc 2"/>
    <w:basedOn w:val="Normln"/>
    <w:next w:val="Normln"/>
    <w:autoRedefine/>
    <w:uiPriority w:val="39"/>
    <w:unhideWhenUsed/>
    <w:rsid w:val="00A75F5E"/>
    <w:pPr>
      <w:tabs>
        <w:tab w:val="left" w:pos="567"/>
        <w:tab w:val="right" w:leader="dot" w:pos="7926"/>
      </w:tabs>
      <w:spacing w:after="100"/>
    </w:pPr>
  </w:style>
  <w:style w:type="paragraph" w:styleId="Obsah3">
    <w:name w:val="toc 3"/>
    <w:basedOn w:val="Normln"/>
    <w:next w:val="Normln"/>
    <w:autoRedefine/>
    <w:uiPriority w:val="39"/>
    <w:unhideWhenUsed/>
    <w:rsid w:val="00A75F5E"/>
    <w:pPr>
      <w:tabs>
        <w:tab w:val="left" w:pos="567"/>
        <w:tab w:val="right" w:leader="dot" w:pos="7926"/>
      </w:tabs>
      <w:spacing w:after="100"/>
    </w:pPr>
  </w:style>
  <w:style w:type="table" w:styleId="Mkatabulky">
    <w:name w:val="Table Grid"/>
    <w:basedOn w:val="Normlntabulka"/>
    <w:uiPriority w:val="39"/>
    <w:rsid w:val="00304BA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0A721A"/>
    <w:pPr>
      <w:spacing w:before="0"/>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lnweb">
    <w:name w:val="Normal (Web)"/>
    <w:basedOn w:val="Normln"/>
    <w:uiPriority w:val="99"/>
    <w:unhideWhenUsed/>
    <w:rsid w:val="00A31C26"/>
    <w:pPr>
      <w:spacing w:before="150" w:after="150" w:line="240" w:lineRule="auto"/>
      <w:jc w:val="left"/>
    </w:pPr>
    <w:rPr>
      <w:rFonts w:eastAsia="Times New Roman" w:cs="Times New Roman"/>
      <w:szCs w:val="24"/>
      <w:lang w:eastAsia="cs-CZ"/>
    </w:rPr>
  </w:style>
  <w:style w:type="table" w:customStyle="1" w:styleId="Svtlstnovn1">
    <w:name w:val="Světlé stínování1"/>
    <w:basedOn w:val="Normlntabulka"/>
    <w:next w:val="Svtlstnovn"/>
    <w:uiPriority w:val="60"/>
    <w:rsid w:val="00794ABE"/>
    <w:pPr>
      <w:spacing w:before="0"/>
      <w:jc w:val="left"/>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ezmezer">
    <w:name w:val="No Spacing"/>
    <w:uiPriority w:val="1"/>
    <w:qFormat/>
    <w:rsid w:val="003321CD"/>
    <w:pPr>
      <w:spacing w:before="0"/>
    </w:pPr>
    <w:rPr>
      <w:rFonts w:ascii="Times New Roman" w:hAnsi="Times New Roman"/>
      <w:sz w:val="24"/>
    </w:rPr>
  </w:style>
  <w:style w:type="table" w:styleId="Svtlmka">
    <w:name w:val="Light Grid"/>
    <w:basedOn w:val="Normlntabulka"/>
    <w:uiPriority w:val="62"/>
    <w:rsid w:val="00462F86"/>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1">
    <w:name w:val="Světlá mřížka1"/>
    <w:basedOn w:val="Normlntabulka"/>
    <w:next w:val="Svtlmka"/>
    <w:uiPriority w:val="62"/>
    <w:rsid w:val="00462F86"/>
    <w:pPr>
      <w:spacing w:before="0"/>
      <w:jc w:val="left"/>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itulek">
    <w:name w:val="caption"/>
    <w:basedOn w:val="Normln"/>
    <w:next w:val="Normln"/>
    <w:uiPriority w:val="35"/>
    <w:unhideWhenUsed/>
    <w:qFormat/>
    <w:rsid w:val="00462F86"/>
    <w:pPr>
      <w:spacing w:before="0" w:after="200" w:line="240" w:lineRule="auto"/>
    </w:pPr>
    <w:rPr>
      <w:b/>
      <w:bCs/>
      <w:color w:val="4F81BD" w:themeColor="accent1"/>
      <w:sz w:val="18"/>
      <w:szCs w:val="18"/>
    </w:rPr>
  </w:style>
  <w:style w:type="table" w:customStyle="1" w:styleId="Svtlmka2">
    <w:name w:val="Světlá mřížka2"/>
    <w:basedOn w:val="Normlntabulka"/>
    <w:next w:val="Svtlmka"/>
    <w:uiPriority w:val="62"/>
    <w:rsid w:val="001C596F"/>
    <w:pPr>
      <w:spacing w:before="0"/>
      <w:jc w:val="left"/>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tednseznam2">
    <w:name w:val="Medium List 2"/>
    <w:basedOn w:val="Normlntabulka"/>
    <w:uiPriority w:val="66"/>
    <w:rsid w:val="001C596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1">
    <w:name w:val="Medium List 1"/>
    <w:basedOn w:val="Normlntabulka"/>
    <w:uiPriority w:val="65"/>
    <w:rsid w:val="001C596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Zhlav">
    <w:name w:val="header"/>
    <w:basedOn w:val="Normln"/>
    <w:link w:val="ZhlavChar"/>
    <w:uiPriority w:val="99"/>
    <w:unhideWhenUsed/>
    <w:rsid w:val="00E84B43"/>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E84B43"/>
    <w:rPr>
      <w:rFonts w:ascii="Times New Roman" w:hAnsi="Times New Roman"/>
      <w:sz w:val="24"/>
    </w:rPr>
  </w:style>
  <w:style w:type="paragraph" w:styleId="Zpat">
    <w:name w:val="footer"/>
    <w:basedOn w:val="Normln"/>
    <w:link w:val="ZpatChar"/>
    <w:uiPriority w:val="99"/>
    <w:unhideWhenUsed/>
    <w:rsid w:val="00E84B43"/>
    <w:pPr>
      <w:tabs>
        <w:tab w:val="center" w:pos="4536"/>
        <w:tab w:val="right" w:pos="9072"/>
      </w:tabs>
      <w:spacing w:before="0" w:line="240" w:lineRule="auto"/>
    </w:pPr>
  </w:style>
  <w:style w:type="character" w:customStyle="1" w:styleId="ZpatChar">
    <w:name w:val="Zápatí Char"/>
    <w:basedOn w:val="Standardnpsmoodstavce"/>
    <w:link w:val="Zpat"/>
    <w:uiPriority w:val="99"/>
    <w:rsid w:val="00E84B43"/>
    <w:rPr>
      <w:rFonts w:ascii="Times New Roman" w:hAnsi="Times New Roman"/>
      <w:sz w:val="24"/>
    </w:rPr>
  </w:style>
  <w:style w:type="paragraph" w:customStyle="1" w:styleId="Nadpis41">
    <w:name w:val="Nadpis 41"/>
    <w:basedOn w:val="Normln"/>
    <w:next w:val="Normln"/>
    <w:uiPriority w:val="9"/>
    <w:semiHidden/>
    <w:unhideWhenUsed/>
    <w:qFormat/>
    <w:rsid w:val="003776DA"/>
    <w:pPr>
      <w:keepNext/>
      <w:tabs>
        <w:tab w:val="num" w:pos="2880"/>
      </w:tabs>
      <w:spacing w:before="240" w:after="60" w:line="240" w:lineRule="auto"/>
      <w:ind w:left="2880" w:hanging="720"/>
      <w:jc w:val="left"/>
      <w:outlineLvl w:val="3"/>
    </w:pPr>
    <w:rPr>
      <w:rFonts w:ascii="Calibri" w:eastAsia="Times New Roman" w:hAnsi="Calibri"/>
      <w:b/>
      <w:bCs/>
      <w:sz w:val="28"/>
      <w:szCs w:val="28"/>
      <w:lang w:val="en-US"/>
    </w:rPr>
  </w:style>
  <w:style w:type="paragraph" w:customStyle="1" w:styleId="Nadpis51">
    <w:name w:val="Nadpis 51"/>
    <w:basedOn w:val="Normln"/>
    <w:next w:val="Normln"/>
    <w:uiPriority w:val="9"/>
    <w:semiHidden/>
    <w:unhideWhenUsed/>
    <w:qFormat/>
    <w:rsid w:val="003776DA"/>
    <w:pPr>
      <w:tabs>
        <w:tab w:val="num" w:pos="3600"/>
      </w:tabs>
      <w:spacing w:before="240" w:after="60" w:line="240" w:lineRule="auto"/>
      <w:ind w:left="3600" w:hanging="720"/>
      <w:jc w:val="left"/>
      <w:outlineLvl w:val="4"/>
    </w:pPr>
    <w:rPr>
      <w:rFonts w:ascii="Calibri" w:eastAsia="Times New Roman" w:hAnsi="Calibri"/>
      <w:b/>
      <w:bCs/>
      <w:i/>
      <w:iCs/>
      <w:sz w:val="26"/>
      <w:szCs w:val="26"/>
      <w:lang w:val="en-US"/>
    </w:rPr>
  </w:style>
  <w:style w:type="character" w:customStyle="1" w:styleId="Nadpis6Char">
    <w:name w:val="Nadpis 6 Char"/>
    <w:basedOn w:val="Standardnpsmoodstavce"/>
    <w:link w:val="Nadpis6"/>
    <w:rsid w:val="003776DA"/>
    <w:rPr>
      <w:rFonts w:ascii="Times New Roman" w:eastAsia="Times New Roman" w:hAnsi="Times New Roman" w:cs="Times New Roman"/>
      <w:b/>
      <w:bCs/>
      <w:lang w:val="en-US"/>
    </w:rPr>
  </w:style>
  <w:style w:type="paragraph" w:customStyle="1" w:styleId="Nadpis71">
    <w:name w:val="Nadpis 71"/>
    <w:basedOn w:val="Normln"/>
    <w:next w:val="Normln"/>
    <w:uiPriority w:val="9"/>
    <w:semiHidden/>
    <w:unhideWhenUsed/>
    <w:qFormat/>
    <w:rsid w:val="003776DA"/>
    <w:pPr>
      <w:tabs>
        <w:tab w:val="num" w:pos="5040"/>
      </w:tabs>
      <w:spacing w:before="240" w:after="60" w:line="240" w:lineRule="auto"/>
      <w:ind w:left="5040" w:hanging="720"/>
      <w:jc w:val="left"/>
      <w:outlineLvl w:val="6"/>
    </w:pPr>
    <w:rPr>
      <w:rFonts w:ascii="Calibri" w:eastAsia="Times New Roman" w:hAnsi="Calibri"/>
      <w:szCs w:val="24"/>
      <w:lang w:val="en-US"/>
    </w:rPr>
  </w:style>
  <w:style w:type="paragraph" w:customStyle="1" w:styleId="Nadpis81">
    <w:name w:val="Nadpis 81"/>
    <w:basedOn w:val="Normln"/>
    <w:next w:val="Normln"/>
    <w:uiPriority w:val="9"/>
    <w:semiHidden/>
    <w:unhideWhenUsed/>
    <w:qFormat/>
    <w:rsid w:val="003776DA"/>
    <w:pPr>
      <w:tabs>
        <w:tab w:val="num" w:pos="5760"/>
      </w:tabs>
      <w:spacing w:before="240" w:after="60" w:line="240" w:lineRule="auto"/>
      <w:ind w:left="5760" w:hanging="720"/>
      <w:jc w:val="left"/>
      <w:outlineLvl w:val="7"/>
    </w:pPr>
    <w:rPr>
      <w:rFonts w:ascii="Calibri" w:eastAsia="Times New Roman" w:hAnsi="Calibri"/>
      <w:i/>
      <w:iCs/>
      <w:szCs w:val="24"/>
      <w:lang w:val="en-US"/>
    </w:rPr>
  </w:style>
  <w:style w:type="paragraph" w:customStyle="1" w:styleId="Nadpis91">
    <w:name w:val="Nadpis 91"/>
    <w:basedOn w:val="Normln"/>
    <w:next w:val="Normln"/>
    <w:uiPriority w:val="9"/>
    <w:semiHidden/>
    <w:unhideWhenUsed/>
    <w:qFormat/>
    <w:rsid w:val="003776DA"/>
    <w:pPr>
      <w:tabs>
        <w:tab w:val="num" w:pos="6480"/>
      </w:tabs>
      <w:spacing w:before="240" w:after="60" w:line="240" w:lineRule="auto"/>
      <w:ind w:left="6480" w:hanging="720"/>
      <w:jc w:val="left"/>
      <w:outlineLvl w:val="8"/>
    </w:pPr>
    <w:rPr>
      <w:rFonts w:ascii="Cambria" w:eastAsia="Times New Roman" w:hAnsi="Cambria" w:cs="Times New Roman"/>
      <w:sz w:val="22"/>
      <w:lang w:val="en-US"/>
    </w:rPr>
  </w:style>
  <w:style w:type="numbering" w:customStyle="1" w:styleId="Bezseznamu1">
    <w:name w:val="Bez seznamu1"/>
    <w:next w:val="Bezseznamu"/>
    <w:uiPriority w:val="99"/>
    <w:semiHidden/>
    <w:unhideWhenUsed/>
    <w:rsid w:val="003776DA"/>
  </w:style>
  <w:style w:type="character" w:customStyle="1" w:styleId="Nadpis4Char">
    <w:name w:val="Nadpis 4 Char"/>
    <w:basedOn w:val="Standardnpsmoodstavce"/>
    <w:link w:val="Nadpis4"/>
    <w:rsid w:val="00620BFE"/>
    <w:rPr>
      <w:rFonts w:ascii="Times New Roman" w:eastAsia="Times New Roman" w:hAnsi="Times New Roman" w:cs="Times New Roman"/>
      <w:bCs/>
      <w:sz w:val="24"/>
      <w:szCs w:val="28"/>
    </w:rPr>
  </w:style>
  <w:style w:type="character" w:customStyle="1" w:styleId="Nadpis5Char">
    <w:name w:val="Nadpis 5 Char"/>
    <w:basedOn w:val="Standardnpsmoodstavce"/>
    <w:link w:val="Nadpis5"/>
    <w:uiPriority w:val="9"/>
    <w:rsid w:val="003776DA"/>
    <w:rPr>
      <w:rFonts w:ascii="Calibri" w:eastAsia="Times New Roman" w:hAnsi="Calibri" w:cs="Times New Roman"/>
      <w:b/>
      <w:bCs/>
      <w:i/>
      <w:iCs/>
      <w:sz w:val="26"/>
      <w:szCs w:val="26"/>
    </w:rPr>
  </w:style>
  <w:style w:type="character" w:customStyle="1" w:styleId="Nadpis7Char">
    <w:name w:val="Nadpis 7 Char"/>
    <w:basedOn w:val="Standardnpsmoodstavce"/>
    <w:link w:val="Nadpis7"/>
    <w:uiPriority w:val="9"/>
    <w:semiHidden/>
    <w:rsid w:val="003776DA"/>
    <w:rPr>
      <w:rFonts w:ascii="Calibri" w:eastAsia="Times New Roman" w:hAnsi="Calibri" w:cs="Times New Roman"/>
      <w:sz w:val="24"/>
      <w:szCs w:val="24"/>
    </w:rPr>
  </w:style>
  <w:style w:type="character" w:customStyle="1" w:styleId="Nadpis8Char">
    <w:name w:val="Nadpis 8 Char"/>
    <w:basedOn w:val="Standardnpsmoodstavce"/>
    <w:link w:val="Nadpis8"/>
    <w:uiPriority w:val="9"/>
    <w:semiHidden/>
    <w:rsid w:val="003776DA"/>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semiHidden/>
    <w:rsid w:val="003776DA"/>
    <w:rPr>
      <w:rFonts w:ascii="Cambria" w:eastAsia="Times New Roman" w:hAnsi="Cambria" w:cs="Times New Roman"/>
      <w:sz w:val="22"/>
      <w:szCs w:val="22"/>
    </w:rPr>
  </w:style>
  <w:style w:type="character" w:customStyle="1" w:styleId="Nadpis4Char1">
    <w:name w:val="Nadpis 4 Char1"/>
    <w:basedOn w:val="Standardnpsmoodstavce"/>
    <w:uiPriority w:val="9"/>
    <w:semiHidden/>
    <w:rsid w:val="003776DA"/>
    <w:rPr>
      <w:rFonts w:asciiTheme="majorHAnsi" w:eastAsiaTheme="majorEastAsia" w:hAnsiTheme="majorHAnsi" w:cstheme="majorBidi"/>
      <w:b/>
      <w:bCs/>
      <w:i/>
      <w:iCs/>
      <w:color w:val="4F81BD" w:themeColor="accent1"/>
      <w:sz w:val="24"/>
    </w:rPr>
  </w:style>
  <w:style w:type="character" w:customStyle="1" w:styleId="Nadpis5Char1">
    <w:name w:val="Nadpis 5 Char1"/>
    <w:basedOn w:val="Standardnpsmoodstavce"/>
    <w:uiPriority w:val="9"/>
    <w:semiHidden/>
    <w:rsid w:val="003776DA"/>
    <w:rPr>
      <w:rFonts w:asciiTheme="majorHAnsi" w:eastAsiaTheme="majorEastAsia" w:hAnsiTheme="majorHAnsi" w:cstheme="majorBidi"/>
      <w:color w:val="243F60" w:themeColor="accent1" w:themeShade="7F"/>
      <w:sz w:val="24"/>
    </w:rPr>
  </w:style>
  <w:style w:type="character" w:customStyle="1" w:styleId="Nadpis7Char1">
    <w:name w:val="Nadpis 7 Char1"/>
    <w:basedOn w:val="Standardnpsmoodstavce"/>
    <w:uiPriority w:val="9"/>
    <w:semiHidden/>
    <w:rsid w:val="003776DA"/>
    <w:rPr>
      <w:rFonts w:asciiTheme="majorHAnsi" w:eastAsiaTheme="majorEastAsia" w:hAnsiTheme="majorHAnsi" w:cstheme="majorBidi"/>
      <w:i/>
      <w:iCs/>
      <w:color w:val="404040" w:themeColor="text1" w:themeTint="BF"/>
      <w:sz w:val="24"/>
    </w:rPr>
  </w:style>
  <w:style w:type="character" w:customStyle="1" w:styleId="Nadpis8Char1">
    <w:name w:val="Nadpis 8 Char1"/>
    <w:basedOn w:val="Standardnpsmoodstavce"/>
    <w:uiPriority w:val="9"/>
    <w:semiHidden/>
    <w:rsid w:val="003776DA"/>
    <w:rPr>
      <w:rFonts w:asciiTheme="majorHAnsi" w:eastAsiaTheme="majorEastAsia" w:hAnsiTheme="majorHAnsi" w:cstheme="majorBidi"/>
      <w:color w:val="404040" w:themeColor="text1" w:themeTint="BF"/>
      <w:sz w:val="20"/>
      <w:szCs w:val="20"/>
    </w:rPr>
  </w:style>
  <w:style w:type="character" w:customStyle="1" w:styleId="Nadpis9Char1">
    <w:name w:val="Nadpis 9 Char1"/>
    <w:basedOn w:val="Standardnpsmoodstavce"/>
    <w:uiPriority w:val="9"/>
    <w:semiHidden/>
    <w:rsid w:val="003776DA"/>
    <w:rPr>
      <w:rFonts w:asciiTheme="majorHAnsi" w:eastAsiaTheme="majorEastAsia" w:hAnsiTheme="majorHAnsi" w:cstheme="majorBidi"/>
      <w:i/>
      <w:iCs/>
      <w:color w:val="404040" w:themeColor="text1" w:themeTint="BF"/>
      <w:sz w:val="20"/>
      <w:szCs w:val="20"/>
    </w:rPr>
  </w:style>
  <w:style w:type="paragraph" w:styleId="Bibliografie">
    <w:name w:val="Bibliography"/>
    <w:basedOn w:val="Normln"/>
    <w:next w:val="Normln"/>
    <w:uiPriority w:val="37"/>
    <w:unhideWhenUsed/>
    <w:rsid w:val="00BB1DF1"/>
  </w:style>
  <w:style w:type="paragraph" w:styleId="FormtovanvHTML">
    <w:name w:val="HTML Preformatted"/>
    <w:basedOn w:val="Normln"/>
    <w:link w:val="FormtovanvHTMLChar"/>
    <w:uiPriority w:val="99"/>
    <w:semiHidden/>
    <w:unhideWhenUsed/>
    <w:rsid w:val="00026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26C1C"/>
    <w:rPr>
      <w:rFonts w:ascii="Courier New" w:eastAsia="Times New Roman" w:hAnsi="Courier New" w:cs="Courier New"/>
      <w:sz w:val="20"/>
      <w:szCs w:val="20"/>
      <w:lang w:eastAsia="cs-CZ"/>
    </w:rPr>
  </w:style>
  <w:style w:type="character" w:styleId="Zvraznn">
    <w:name w:val="Emphasis"/>
    <w:basedOn w:val="Standardnpsmoodstavce"/>
    <w:uiPriority w:val="20"/>
    <w:qFormat/>
    <w:rsid w:val="00954D74"/>
    <w:rPr>
      <w:i/>
      <w:iCs/>
    </w:rPr>
  </w:style>
  <w:style w:type="character" w:customStyle="1" w:styleId="h1a">
    <w:name w:val="h1a"/>
    <w:basedOn w:val="Standardnpsmoodstavce"/>
    <w:rsid w:val="004E7F31"/>
  </w:style>
  <w:style w:type="table" w:customStyle="1" w:styleId="TableNormal">
    <w:name w:val="Table Normal"/>
    <w:rsid w:val="009B70FF"/>
    <w:pPr>
      <w:pBdr>
        <w:top w:val="nil"/>
        <w:left w:val="nil"/>
        <w:bottom w:val="nil"/>
        <w:right w:val="nil"/>
        <w:between w:val="nil"/>
        <w:bar w:val="nil"/>
      </w:pBdr>
      <w:spacing w:before="0"/>
      <w:jc w:val="left"/>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customStyle="1" w:styleId="Zhlavazpat">
    <w:name w:val="Záhlaví a zápatí"/>
    <w:rsid w:val="009B70FF"/>
    <w:pPr>
      <w:pBdr>
        <w:top w:val="nil"/>
        <w:left w:val="nil"/>
        <w:bottom w:val="nil"/>
        <w:right w:val="nil"/>
        <w:between w:val="nil"/>
        <w:bar w:val="nil"/>
      </w:pBdr>
      <w:tabs>
        <w:tab w:val="right" w:pos="9020"/>
      </w:tabs>
      <w:spacing w:before="0"/>
      <w:jc w:val="left"/>
    </w:pPr>
    <w:rPr>
      <w:rFonts w:ascii="Helvetica Neue" w:eastAsia="Arial Unicode MS" w:hAnsi="Helvetica Neue" w:cs="Arial Unicode MS"/>
      <w:color w:val="000000"/>
      <w:sz w:val="24"/>
      <w:szCs w:val="24"/>
      <w:bdr w:val="nil"/>
      <w:lang w:eastAsia="cs-CZ"/>
    </w:rPr>
  </w:style>
  <w:style w:type="paragraph" w:customStyle="1" w:styleId="Default">
    <w:name w:val="Default"/>
    <w:rsid w:val="009B70FF"/>
    <w:pPr>
      <w:pBdr>
        <w:top w:val="nil"/>
        <w:left w:val="nil"/>
        <w:bottom w:val="nil"/>
        <w:right w:val="nil"/>
        <w:between w:val="nil"/>
        <w:bar w:val="nil"/>
      </w:pBdr>
      <w:spacing w:before="0"/>
      <w:jc w:val="left"/>
    </w:pPr>
    <w:rPr>
      <w:rFonts w:ascii="Times New Roman" w:eastAsia="Arial Unicode MS" w:hAnsi="Times New Roman" w:cs="Arial Unicode MS"/>
      <w:color w:val="000000"/>
      <w:sz w:val="24"/>
      <w:szCs w:val="24"/>
      <w:u w:color="000000"/>
      <w:bdr w:val="nil"/>
      <w:lang w:eastAsia="cs-CZ"/>
    </w:rPr>
  </w:style>
  <w:style w:type="paragraph" w:styleId="Obsah4">
    <w:name w:val="toc 4"/>
    <w:rsid w:val="009B70FF"/>
    <w:pPr>
      <w:pBdr>
        <w:top w:val="nil"/>
        <w:left w:val="nil"/>
        <w:bottom w:val="nil"/>
        <w:right w:val="nil"/>
        <w:between w:val="nil"/>
        <w:bar w:val="nil"/>
      </w:pBdr>
      <w:tabs>
        <w:tab w:val="left" w:pos="440"/>
        <w:tab w:val="right" w:leader="dot" w:pos="8194"/>
      </w:tabs>
      <w:spacing w:before="0" w:after="200" w:line="276" w:lineRule="auto"/>
      <w:jc w:val="left"/>
    </w:pPr>
    <w:rPr>
      <w:rFonts w:ascii="Calibri" w:eastAsia="Calibri" w:hAnsi="Calibri" w:cs="Calibri"/>
      <w:color w:val="000000"/>
      <w:bdr w:val="nil"/>
      <w:lang w:eastAsia="cs-CZ"/>
    </w:rPr>
  </w:style>
  <w:style w:type="numbering" w:customStyle="1" w:styleId="Importovanstyl1">
    <w:name w:val="Importovaný styl 1"/>
    <w:rsid w:val="009B70FF"/>
    <w:pPr>
      <w:numPr>
        <w:numId w:val="1"/>
      </w:numPr>
    </w:pPr>
  </w:style>
  <w:style w:type="paragraph" w:customStyle="1" w:styleId="VchozA">
    <w:name w:val="Výchozí A"/>
    <w:rsid w:val="009B70FF"/>
    <w:pPr>
      <w:pBdr>
        <w:top w:val="nil"/>
        <w:left w:val="nil"/>
        <w:bottom w:val="nil"/>
        <w:right w:val="nil"/>
        <w:between w:val="nil"/>
        <w:bar w:val="nil"/>
      </w:pBdr>
      <w:spacing w:before="0"/>
      <w:jc w:val="left"/>
    </w:pPr>
    <w:rPr>
      <w:rFonts w:ascii="Helvetica Neue" w:eastAsia="Arial Unicode MS" w:hAnsi="Helvetica Neue" w:cs="Arial Unicode MS"/>
      <w:color w:val="000000"/>
      <w:u w:color="000000"/>
      <w:bdr w:val="nil"/>
      <w:lang w:eastAsia="cs-CZ"/>
    </w:rPr>
  </w:style>
  <w:style w:type="numbering" w:customStyle="1" w:styleId="Importovanstyl2">
    <w:name w:val="Importovaný styl 2"/>
    <w:rsid w:val="009B70FF"/>
    <w:pPr>
      <w:numPr>
        <w:numId w:val="2"/>
      </w:numPr>
    </w:pPr>
  </w:style>
  <w:style w:type="numbering" w:customStyle="1" w:styleId="Importovanstyl3">
    <w:name w:val="Importovaný styl 3"/>
    <w:rsid w:val="009B70FF"/>
    <w:pPr>
      <w:numPr>
        <w:numId w:val="4"/>
      </w:numPr>
    </w:pPr>
  </w:style>
  <w:style w:type="paragraph" w:customStyle="1" w:styleId="Vchoz">
    <w:name w:val="Výchozí"/>
    <w:rsid w:val="009B70FF"/>
    <w:pPr>
      <w:pBdr>
        <w:top w:val="nil"/>
        <w:left w:val="nil"/>
        <w:bottom w:val="nil"/>
        <w:right w:val="nil"/>
        <w:between w:val="nil"/>
        <w:bar w:val="nil"/>
      </w:pBdr>
      <w:spacing w:before="0"/>
      <w:jc w:val="left"/>
    </w:pPr>
    <w:rPr>
      <w:rFonts w:ascii="Helvetica Neue" w:eastAsia="Arial Unicode MS" w:hAnsi="Helvetica Neue" w:cs="Arial Unicode MS"/>
      <w:color w:val="000000"/>
      <w:bdr w:val="nil"/>
      <w:lang w:eastAsia="cs-CZ"/>
    </w:rPr>
  </w:style>
  <w:style w:type="numbering" w:customStyle="1" w:styleId="Importovanstyl4">
    <w:name w:val="Importovaný styl 4"/>
    <w:rsid w:val="009B70FF"/>
    <w:pPr>
      <w:numPr>
        <w:numId w:val="6"/>
      </w:numPr>
    </w:pPr>
  </w:style>
  <w:style w:type="numbering" w:customStyle="1" w:styleId="Importovanstyl5">
    <w:name w:val="Importovaný styl 5"/>
    <w:rsid w:val="009B70FF"/>
    <w:pPr>
      <w:numPr>
        <w:numId w:val="8"/>
      </w:numPr>
    </w:pPr>
  </w:style>
  <w:style w:type="numbering" w:customStyle="1" w:styleId="Importovanstyl6">
    <w:name w:val="Importovaný styl 6"/>
    <w:rsid w:val="009B70FF"/>
    <w:pPr>
      <w:numPr>
        <w:numId w:val="10"/>
      </w:numPr>
    </w:pPr>
  </w:style>
  <w:style w:type="numbering" w:customStyle="1" w:styleId="Importovanstyl7">
    <w:name w:val="Importovaný styl 7"/>
    <w:rsid w:val="009B70FF"/>
    <w:pPr>
      <w:numPr>
        <w:numId w:val="12"/>
      </w:numPr>
    </w:pPr>
  </w:style>
  <w:style w:type="character" w:customStyle="1" w:styleId="dn">
    <w:name w:val="Žádný"/>
    <w:rsid w:val="009B70FF"/>
  </w:style>
  <w:style w:type="character" w:customStyle="1" w:styleId="Hyperlink0">
    <w:name w:val="Hyperlink.0"/>
    <w:basedOn w:val="dn"/>
    <w:rsid w:val="009B70FF"/>
    <w:rPr>
      <w:u w:color="FF0000"/>
    </w:rPr>
  </w:style>
  <w:style w:type="numbering" w:customStyle="1" w:styleId="Importovanstyl8">
    <w:name w:val="Importovaný styl 8"/>
    <w:rsid w:val="009B70FF"/>
    <w:pPr>
      <w:numPr>
        <w:numId w:val="14"/>
      </w:numPr>
    </w:pPr>
  </w:style>
  <w:style w:type="numbering" w:customStyle="1" w:styleId="Importovanstyl9">
    <w:name w:val="Importovaný styl 9"/>
    <w:rsid w:val="009B70FF"/>
    <w:pPr>
      <w:numPr>
        <w:numId w:val="16"/>
      </w:numPr>
    </w:pPr>
  </w:style>
  <w:style w:type="numbering" w:customStyle="1" w:styleId="Importovanstyl10">
    <w:name w:val="Importovaný styl 10"/>
    <w:rsid w:val="009B70FF"/>
    <w:pPr>
      <w:numPr>
        <w:numId w:val="18"/>
      </w:numPr>
    </w:pPr>
  </w:style>
  <w:style w:type="numbering" w:customStyle="1" w:styleId="Importovanstyl11">
    <w:name w:val="Importovaný styl 11"/>
    <w:rsid w:val="009B70FF"/>
    <w:pPr>
      <w:numPr>
        <w:numId w:val="20"/>
      </w:numPr>
    </w:pPr>
  </w:style>
  <w:style w:type="numbering" w:customStyle="1" w:styleId="Odrky">
    <w:name w:val="Odrážky"/>
    <w:rsid w:val="009B70FF"/>
    <w:pPr>
      <w:numPr>
        <w:numId w:val="22"/>
      </w:numPr>
    </w:pPr>
  </w:style>
  <w:style w:type="numbering" w:customStyle="1" w:styleId="Importovanstyl12">
    <w:name w:val="Importovaný styl 12"/>
    <w:rsid w:val="009B70FF"/>
    <w:pPr>
      <w:numPr>
        <w:numId w:val="24"/>
      </w:numPr>
    </w:pPr>
  </w:style>
  <w:style w:type="numbering" w:customStyle="1" w:styleId="Importovanstyl13">
    <w:name w:val="Importovaný styl 13"/>
    <w:rsid w:val="009B70FF"/>
    <w:pPr>
      <w:numPr>
        <w:numId w:val="26"/>
      </w:numPr>
    </w:pPr>
  </w:style>
  <w:style w:type="numbering" w:customStyle="1" w:styleId="Importovanstyl14">
    <w:name w:val="Importovaný styl 14"/>
    <w:rsid w:val="009B70FF"/>
    <w:pPr>
      <w:numPr>
        <w:numId w:val="28"/>
      </w:numPr>
    </w:pPr>
  </w:style>
  <w:style w:type="numbering" w:customStyle="1" w:styleId="Importovanstyl15">
    <w:name w:val="Importovaný styl 15"/>
    <w:rsid w:val="009B70FF"/>
    <w:pPr>
      <w:numPr>
        <w:numId w:val="30"/>
      </w:numPr>
    </w:pPr>
  </w:style>
  <w:style w:type="paragraph" w:styleId="Nzev">
    <w:name w:val="Title"/>
    <w:basedOn w:val="Normln"/>
    <w:next w:val="Normln"/>
    <w:link w:val="NzevChar"/>
    <w:uiPriority w:val="10"/>
    <w:qFormat/>
    <w:rsid w:val="009B70FF"/>
    <w:pPr>
      <w:pBdr>
        <w:top w:val="nil"/>
        <w:left w:val="nil"/>
        <w:bottom w:val="single" w:sz="8" w:space="4" w:color="4F81BD" w:themeColor="accent1"/>
        <w:right w:val="nil"/>
        <w:between w:val="nil"/>
        <w:bar w:val="nil"/>
      </w:pBdr>
      <w:spacing w:before="0"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u w:color="000000"/>
      <w:bdr w:val="nil"/>
      <w:lang w:eastAsia="cs-CZ"/>
    </w:rPr>
  </w:style>
  <w:style w:type="character" w:customStyle="1" w:styleId="NzevChar">
    <w:name w:val="Název Char"/>
    <w:basedOn w:val="Standardnpsmoodstavce"/>
    <w:link w:val="Nzev"/>
    <w:uiPriority w:val="10"/>
    <w:rsid w:val="009B70FF"/>
    <w:rPr>
      <w:rFonts w:asciiTheme="majorHAnsi" w:eastAsiaTheme="majorEastAsia" w:hAnsiTheme="majorHAnsi" w:cstheme="majorBidi"/>
      <w:color w:val="17365D" w:themeColor="text2" w:themeShade="BF"/>
      <w:spacing w:val="5"/>
      <w:kern w:val="28"/>
      <w:sz w:val="52"/>
      <w:szCs w:val="52"/>
      <w:u w:color="000000"/>
      <w:bdr w:val="nil"/>
      <w:lang w:eastAsia="cs-CZ"/>
    </w:rPr>
  </w:style>
  <w:style w:type="paragraph" w:styleId="Textvysvtlivek">
    <w:name w:val="endnote text"/>
    <w:basedOn w:val="Normln"/>
    <w:link w:val="TextvysvtlivekChar"/>
    <w:uiPriority w:val="99"/>
    <w:semiHidden/>
    <w:unhideWhenUsed/>
    <w:rsid w:val="00BF6AD2"/>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BF6AD2"/>
    <w:rPr>
      <w:rFonts w:ascii="Times New Roman" w:hAnsi="Times New Roman"/>
      <w:sz w:val="20"/>
      <w:szCs w:val="20"/>
    </w:rPr>
  </w:style>
  <w:style w:type="character" w:styleId="Odkaznavysvtlivky">
    <w:name w:val="endnote reference"/>
    <w:basedOn w:val="Standardnpsmoodstavce"/>
    <w:uiPriority w:val="99"/>
    <w:semiHidden/>
    <w:unhideWhenUsed/>
    <w:rsid w:val="00BF6AD2"/>
    <w:rPr>
      <w:vertAlign w:val="superscript"/>
    </w:rPr>
  </w:style>
  <w:style w:type="character" w:customStyle="1" w:styleId="Odkaz">
    <w:name w:val="Odkaz"/>
    <w:rsid w:val="00D16E75"/>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befor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4FA9"/>
    <w:pPr>
      <w:spacing w:line="360" w:lineRule="auto"/>
      <w:ind w:firstLine="709"/>
    </w:pPr>
    <w:rPr>
      <w:rFonts w:ascii="Times New Roman" w:hAnsi="Times New Roman"/>
      <w:sz w:val="24"/>
    </w:rPr>
  </w:style>
  <w:style w:type="paragraph" w:styleId="Nadpis1">
    <w:name w:val="heading 1"/>
    <w:basedOn w:val="Normln"/>
    <w:next w:val="Normln"/>
    <w:link w:val="Nadpis1Char"/>
    <w:qFormat/>
    <w:rsid w:val="00A80413"/>
    <w:pPr>
      <w:keepNext/>
      <w:keepLines/>
      <w:spacing w:before="480" w:after="480"/>
      <w:outlineLvl w:val="0"/>
    </w:pPr>
    <w:rPr>
      <w:rFonts w:eastAsiaTheme="majorEastAsia" w:cstheme="majorBidi"/>
      <w:b/>
      <w:bCs/>
      <w:caps/>
      <w:sz w:val="28"/>
      <w:szCs w:val="28"/>
    </w:rPr>
  </w:style>
  <w:style w:type="paragraph" w:styleId="Nadpis2">
    <w:name w:val="heading 2"/>
    <w:basedOn w:val="Normln"/>
    <w:next w:val="Normln"/>
    <w:link w:val="Nadpis2Char"/>
    <w:unhideWhenUsed/>
    <w:qFormat/>
    <w:rsid w:val="00017F20"/>
    <w:pPr>
      <w:keepNext/>
      <w:keepLines/>
      <w:spacing w:before="280" w:after="280"/>
      <w:outlineLvl w:val="1"/>
    </w:pPr>
    <w:rPr>
      <w:rFonts w:eastAsiaTheme="majorEastAsia" w:cstheme="majorBidi"/>
      <w:b/>
      <w:bCs/>
      <w:sz w:val="26"/>
      <w:szCs w:val="26"/>
    </w:rPr>
  </w:style>
  <w:style w:type="paragraph" w:styleId="Nadpis3">
    <w:name w:val="heading 3"/>
    <w:basedOn w:val="Normln"/>
    <w:next w:val="Normln"/>
    <w:link w:val="Nadpis3Char"/>
    <w:unhideWhenUsed/>
    <w:qFormat/>
    <w:rsid w:val="00017F20"/>
    <w:pPr>
      <w:keepNext/>
      <w:keepLines/>
      <w:spacing w:before="240" w:after="240"/>
      <w:outlineLvl w:val="2"/>
    </w:pPr>
    <w:rPr>
      <w:rFonts w:eastAsiaTheme="majorEastAsia" w:cstheme="majorBidi"/>
      <w:b/>
      <w:bCs/>
    </w:rPr>
  </w:style>
  <w:style w:type="paragraph" w:styleId="Nadpis4">
    <w:name w:val="heading 4"/>
    <w:basedOn w:val="Normln"/>
    <w:next w:val="Normln"/>
    <w:link w:val="Nadpis4Char"/>
    <w:unhideWhenUsed/>
    <w:qFormat/>
    <w:rsid w:val="00620BFE"/>
    <w:pPr>
      <w:keepNext/>
      <w:keepLines/>
      <w:outlineLvl w:val="3"/>
    </w:pPr>
    <w:rPr>
      <w:rFonts w:eastAsia="Times New Roman" w:cs="Times New Roman"/>
      <w:bCs/>
      <w:szCs w:val="28"/>
    </w:rPr>
  </w:style>
  <w:style w:type="paragraph" w:styleId="Nadpis5">
    <w:name w:val="heading 5"/>
    <w:basedOn w:val="Normln"/>
    <w:next w:val="Normln"/>
    <w:link w:val="Nadpis5Char"/>
    <w:uiPriority w:val="9"/>
    <w:unhideWhenUsed/>
    <w:qFormat/>
    <w:rsid w:val="003776DA"/>
    <w:pPr>
      <w:keepNext/>
      <w:keepLines/>
      <w:outlineLvl w:val="4"/>
    </w:pPr>
    <w:rPr>
      <w:rFonts w:ascii="Calibri" w:eastAsia="Times New Roman" w:hAnsi="Calibri" w:cs="Times New Roman"/>
      <w:b/>
      <w:bCs/>
      <w:i/>
      <w:iCs/>
      <w:sz w:val="26"/>
      <w:szCs w:val="26"/>
    </w:rPr>
  </w:style>
  <w:style w:type="paragraph" w:styleId="Nadpis6">
    <w:name w:val="heading 6"/>
    <w:basedOn w:val="Normln"/>
    <w:next w:val="Normln"/>
    <w:link w:val="Nadpis6Char"/>
    <w:qFormat/>
    <w:rsid w:val="003776DA"/>
    <w:pPr>
      <w:tabs>
        <w:tab w:val="num" w:pos="4320"/>
      </w:tabs>
      <w:spacing w:before="240" w:after="60" w:line="240" w:lineRule="auto"/>
      <w:ind w:left="4320" w:hanging="720"/>
      <w:jc w:val="left"/>
      <w:outlineLvl w:val="5"/>
    </w:pPr>
    <w:rPr>
      <w:rFonts w:eastAsia="Times New Roman" w:cs="Times New Roman"/>
      <w:b/>
      <w:bCs/>
      <w:sz w:val="22"/>
      <w:lang w:val="en-US"/>
    </w:rPr>
  </w:style>
  <w:style w:type="paragraph" w:styleId="Nadpis7">
    <w:name w:val="heading 7"/>
    <w:basedOn w:val="Normln"/>
    <w:next w:val="Normln"/>
    <w:link w:val="Nadpis7Char"/>
    <w:uiPriority w:val="9"/>
    <w:semiHidden/>
    <w:unhideWhenUsed/>
    <w:qFormat/>
    <w:rsid w:val="003776DA"/>
    <w:pPr>
      <w:keepNext/>
      <w:keepLines/>
      <w:outlineLvl w:val="6"/>
    </w:pPr>
    <w:rPr>
      <w:rFonts w:ascii="Calibri" w:eastAsia="Times New Roman" w:hAnsi="Calibri" w:cs="Times New Roman"/>
      <w:szCs w:val="24"/>
    </w:rPr>
  </w:style>
  <w:style w:type="paragraph" w:styleId="Nadpis8">
    <w:name w:val="heading 8"/>
    <w:basedOn w:val="Normln"/>
    <w:next w:val="Normln"/>
    <w:link w:val="Nadpis8Char"/>
    <w:uiPriority w:val="9"/>
    <w:semiHidden/>
    <w:unhideWhenUsed/>
    <w:qFormat/>
    <w:rsid w:val="003776DA"/>
    <w:pPr>
      <w:keepNext/>
      <w:keepLines/>
      <w:outlineLvl w:val="7"/>
    </w:pPr>
    <w:rPr>
      <w:rFonts w:ascii="Calibri" w:eastAsia="Times New Roman" w:hAnsi="Calibri" w:cs="Times New Roman"/>
      <w:i/>
      <w:iCs/>
      <w:szCs w:val="24"/>
    </w:rPr>
  </w:style>
  <w:style w:type="paragraph" w:styleId="Nadpis9">
    <w:name w:val="heading 9"/>
    <w:basedOn w:val="Normln"/>
    <w:next w:val="Normln"/>
    <w:link w:val="Nadpis9Char"/>
    <w:uiPriority w:val="9"/>
    <w:semiHidden/>
    <w:unhideWhenUsed/>
    <w:qFormat/>
    <w:rsid w:val="003776DA"/>
    <w:pPr>
      <w:keepNext/>
      <w:keepLines/>
      <w:outlineLvl w:val="8"/>
    </w:pPr>
    <w:rPr>
      <w:rFonts w:ascii="Cambria" w:eastAsia="Times New Roman" w:hAnsi="Cambria" w:cs="Times New Roman"/>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BC2EA3"/>
    <w:rPr>
      <w:sz w:val="16"/>
      <w:szCs w:val="16"/>
    </w:rPr>
  </w:style>
  <w:style w:type="paragraph" w:styleId="Textkomente">
    <w:name w:val="annotation text"/>
    <w:basedOn w:val="Normln"/>
    <w:link w:val="TextkomenteChar"/>
    <w:uiPriority w:val="99"/>
    <w:semiHidden/>
    <w:unhideWhenUsed/>
    <w:rsid w:val="00BC2EA3"/>
    <w:rPr>
      <w:sz w:val="20"/>
      <w:szCs w:val="20"/>
    </w:rPr>
  </w:style>
  <w:style w:type="character" w:customStyle="1" w:styleId="TextkomenteChar">
    <w:name w:val="Text komentáře Char"/>
    <w:basedOn w:val="Standardnpsmoodstavce"/>
    <w:link w:val="Textkomente"/>
    <w:uiPriority w:val="99"/>
    <w:semiHidden/>
    <w:rsid w:val="00BC2EA3"/>
    <w:rPr>
      <w:sz w:val="20"/>
      <w:szCs w:val="20"/>
    </w:rPr>
  </w:style>
  <w:style w:type="paragraph" w:styleId="Pedmtkomente">
    <w:name w:val="annotation subject"/>
    <w:basedOn w:val="Textkomente"/>
    <w:next w:val="Textkomente"/>
    <w:link w:val="PedmtkomenteChar"/>
    <w:uiPriority w:val="99"/>
    <w:semiHidden/>
    <w:unhideWhenUsed/>
    <w:rsid w:val="00BC2EA3"/>
    <w:rPr>
      <w:b/>
      <w:bCs/>
    </w:rPr>
  </w:style>
  <w:style w:type="character" w:customStyle="1" w:styleId="PedmtkomenteChar">
    <w:name w:val="Předmět komentáře Char"/>
    <w:basedOn w:val="TextkomenteChar"/>
    <w:link w:val="Pedmtkomente"/>
    <w:uiPriority w:val="99"/>
    <w:semiHidden/>
    <w:rsid w:val="00BC2EA3"/>
    <w:rPr>
      <w:b/>
      <w:bCs/>
      <w:sz w:val="20"/>
      <w:szCs w:val="20"/>
    </w:rPr>
  </w:style>
  <w:style w:type="paragraph" w:styleId="Textbubliny">
    <w:name w:val="Balloon Text"/>
    <w:basedOn w:val="Normln"/>
    <w:link w:val="TextbublinyChar"/>
    <w:uiPriority w:val="99"/>
    <w:semiHidden/>
    <w:unhideWhenUsed/>
    <w:rsid w:val="00BC2EA3"/>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C2EA3"/>
    <w:rPr>
      <w:rFonts w:ascii="Tahoma" w:hAnsi="Tahoma" w:cs="Tahoma"/>
      <w:sz w:val="16"/>
      <w:szCs w:val="16"/>
    </w:rPr>
  </w:style>
  <w:style w:type="character" w:styleId="Siln">
    <w:name w:val="Strong"/>
    <w:basedOn w:val="Standardnpsmoodstavce"/>
    <w:uiPriority w:val="22"/>
    <w:qFormat/>
    <w:rsid w:val="00A84A7B"/>
    <w:rPr>
      <w:b/>
      <w:bCs/>
    </w:rPr>
  </w:style>
  <w:style w:type="paragraph" w:customStyle="1" w:styleId="ppt1">
    <w:name w:val="ppt1"/>
    <w:basedOn w:val="Normln"/>
    <w:rsid w:val="00BA4A19"/>
    <w:pPr>
      <w:spacing w:before="100" w:beforeAutospacing="1" w:after="100" w:afterAutospacing="1"/>
      <w:jc w:val="left"/>
    </w:pPr>
    <w:rPr>
      <w:rFonts w:eastAsia="Times New Roman" w:cs="Times New Roman"/>
      <w:szCs w:val="24"/>
      <w:lang w:eastAsia="cs-CZ"/>
    </w:rPr>
  </w:style>
  <w:style w:type="paragraph" w:styleId="Textpoznpodarou">
    <w:name w:val="footnote text"/>
    <w:basedOn w:val="Normln"/>
    <w:link w:val="TextpoznpodarouChar"/>
    <w:unhideWhenUsed/>
    <w:rsid w:val="00EC7E8E"/>
    <w:pPr>
      <w:spacing w:before="0"/>
    </w:pPr>
    <w:rPr>
      <w:sz w:val="20"/>
      <w:szCs w:val="20"/>
    </w:rPr>
  </w:style>
  <w:style w:type="character" w:customStyle="1" w:styleId="TextpoznpodarouChar">
    <w:name w:val="Text pozn. pod čarou Char"/>
    <w:basedOn w:val="Standardnpsmoodstavce"/>
    <w:link w:val="Textpoznpodarou"/>
    <w:uiPriority w:val="99"/>
    <w:rsid w:val="00EC7E8E"/>
    <w:rPr>
      <w:sz w:val="20"/>
      <w:szCs w:val="20"/>
    </w:rPr>
  </w:style>
  <w:style w:type="character" w:styleId="Znakapoznpodarou">
    <w:name w:val="footnote reference"/>
    <w:basedOn w:val="Standardnpsmoodstavce"/>
    <w:unhideWhenUsed/>
    <w:rsid w:val="00EC7E8E"/>
    <w:rPr>
      <w:vertAlign w:val="superscript"/>
    </w:rPr>
  </w:style>
  <w:style w:type="paragraph" w:customStyle="1" w:styleId="l8">
    <w:name w:val="l8"/>
    <w:basedOn w:val="Normln"/>
    <w:rsid w:val="00EC7E8E"/>
    <w:pPr>
      <w:spacing w:before="100" w:beforeAutospacing="1" w:after="100" w:afterAutospacing="1"/>
      <w:jc w:val="left"/>
    </w:pPr>
    <w:rPr>
      <w:rFonts w:eastAsia="Times New Roman" w:cs="Times New Roman"/>
      <w:szCs w:val="24"/>
      <w:lang w:eastAsia="cs-CZ"/>
    </w:rPr>
  </w:style>
  <w:style w:type="character" w:styleId="PromnnHTML">
    <w:name w:val="HTML Variable"/>
    <w:basedOn w:val="Standardnpsmoodstavce"/>
    <w:uiPriority w:val="99"/>
    <w:semiHidden/>
    <w:unhideWhenUsed/>
    <w:rsid w:val="00EC7E8E"/>
    <w:rPr>
      <w:i/>
      <w:iCs/>
    </w:rPr>
  </w:style>
  <w:style w:type="character" w:customStyle="1" w:styleId="apple-converted-space">
    <w:name w:val="apple-converted-space"/>
    <w:basedOn w:val="Standardnpsmoodstavce"/>
    <w:rsid w:val="00EC7E8E"/>
  </w:style>
  <w:style w:type="character" w:styleId="Hypertextovodkaz">
    <w:name w:val="Hyperlink"/>
    <w:basedOn w:val="Standardnpsmoodstavce"/>
    <w:uiPriority w:val="99"/>
    <w:unhideWhenUsed/>
    <w:rsid w:val="00052631"/>
    <w:rPr>
      <w:color w:val="0000FF"/>
      <w:u w:val="single"/>
    </w:rPr>
  </w:style>
  <w:style w:type="paragraph" w:styleId="Odstavecseseznamem">
    <w:name w:val="List Paragraph"/>
    <w:basedOn w:val="Normln"/>
    <w:qFormat/>
    <w:rsid w:val="00980000"/>
    <w:pPr>
      <w:ind w:left="720"/>
      <w:contextualSpacing/>
    </w:pPr>
  </w:style>
  <w:style w:type="character" w:customStyle="1" w:styleId="Nadpis1Char">
    <w:name w:val="Nadpis 1 Char"/>
    <w:basedOn w:val="Standardnpsmoodstavce"/>
    <w:link w:val="Nadpis1"/>
    <w:uiPriority w:val="9"/>
    <w:rsid w:val="00A80413"/>
    <w:rPr>
      <w:rFonts w:ascii="Times New Roman" w:eastAsiaTheme="majorEastAsia" w:hAnsi="Times New Roman" w:cstheme="majorBidi"/>
      <w:b/>
      <w:bCs/>
      <w:caps/>
      <w:sz w:val="28"/>
      <w:szCs w:val="28"/>
    </w:rPr>
  </w:style>
  <w:style w:type="paragraph" w:styleId="Nadpisobsahu">
    <w:name w:val="TOC Heading"/>
    <w:basedOn w:val="Nadpis1"/>
    <w:next w:val="Normln"/>
    <w:uiPriority w:val="39"/>
    <w:unhideWhenUsed/>
    <w:qFormat/>
    <w:rsid w:val="00E420FE"/>
    <w:pPr>
      <w:spacing w:line="276" w:lineRule="auto"/>
      <w:jc w:val="left"/>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A75F5E"/>
    <w:pPr>
      <w:tabs>
        <w:tab w:val="left" w:pos="567"/>
        <w:tab w:val="right" w:leader="dot" w:pos="7926"/>
      </w:tabs>
      <w:spacing w:after="100"/>
    </w:pPr>
  </w:style>
  <w:style w:type="character" w:customStyle="1" w:styleId="Nadpis2Char">
    <w:name w:val="Nadpis 2 Char"/>
    <w:basedOn w:val="Standardnpsmoodstavce"/>
    <w:link w:val="Nadpis2"/>
    <w:rsid w:val="00017F20"/>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rsid w:val="00017F20"/>
    <w:rPr>
      <w:rFonts w:ascii="Times New Roman" w:eastAsiaTheme="majorEastAsia" w:hAnsi="Times New Roman" w:cstheme="majorBidi"/>
      <w:b/>
      <w:bCs/>
      <w:sz w:val="24"/>
    </w:rPr>
  </w:style>
  <w:style w:type="paragraph" w:styleId="Obsah2">
    <w:name w:val="toc 2"/>
    <w:basedOn w:val="Normln"/>
    <w:next w:val="Normln"/>
    <w:autoRedefine/>
    <w:uiPriority w:val="39"/>
    <w:unhideWhenUsed/>
    <w:rsid w:val="00A75F5E"/>
    <w:pPr>
      <w:tabs>
        <w:tab w:val="left" w:pos="567"/>
        <w:tab w:val="right" w:leader="dot" w:pos="7926"/>
      </w:tabs>
      <w:spacing w:after="100"/>
    </w:pPr>
  </w:style>
  <w:style w:type="paragraph" w:styleId="Obsah3">
    <w:name w:val="toc 3"/>
    <w:basedOn w:val="Normln"/>
    <w:next w:val="Normln"/>
    <w:autoRedefine/>
    <w:uiPriority w:val="39"/>
    <w:unhideWhenUsed/>
    <w:rsid w:val="00A75F5E"/>
    <w:pPr>
      <w:tabs>
        <w:tab w:val="left" w:pos="567"/>
        <w:tab w:val="right" w:leader="dot" w:pos="7926"/>
      </w:tabs>
      <w:spacing w:after="100"/>
    </w:pPr>
  </w:style>
  <w:style w:type="table" w:styleId="Mkatabulky">
    <w:name w:val="Table Grid"/>
    <w:basedOn w:val="Normlntabulka"/>
    <w:uiPriority w:val="39"/>
    <w:rsid w:val="00304BA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0A721A"/>
    <w:pPr>
      <w:spacing w:before="0"/>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lnweb">
    <w:name w:val="Normal (Web)"/>
    <w:basedOn w:val="Normln"/>
    <w:uiPriority w:val="99"/>
    <w:unhideWhenUsed/>
    <w:rsid w:val="00A31C26"/>
    <w:pPr>
      <w:spacing w:before="150" w:after="150" w:line="240" w:lineRule="auto"/>
      <w:jc w:val="left"/>
    </w:pPr>
    <w:rPr>
      <w:rFonts w:eastAsia="Times New Roman" w:cs="Times New Roman"/>
      <w:szCs w:val="24"/>
      <w:lang w:eastAsia="cs-CZ"/>
    </w:rPr>
  </w:style>
  <w:style w:type="table" w:customStyle="1" w:styleId="Svtlstnovn1">
    <w:name w:val="Světlé stínování1"/>
    <w:basedOn w:val="Normlntabulka"/>
    <w:next w:val="Svtlstnovn"/>
    <w:uiPriority w:val="60"/>
    <w:rsid w:val="00794ABE"/>
    <w:pPr>
      <w:spacing w:before="0"/>
      <w:jc w:val="left"/>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ezmezer">
    <w:name w:val="No Spacing"/>
    <w:uiPriority w:val="1"/>
    <w:qFormat/>
    <w:rsid w:val="003321CD"/>
    <w:pPr>
      <w:spacing w:before="0"/>
    </w:pPr>
    <w:rPr>
      <w:rFonts w:ascii="Times New Roman" w:hAnsi="Times New Roman"/>
      <w:sz w:val="24"/>
    </w:rPr>
  </w:style>
  <w:style w:type="table" w:styleId="Svtlmka">
    <w:name w:val="Light Grid"/>
    <w:basedOn w:val="Normlntabulka"/>
    <w:uiPriority w:val="62"/>
    <w:rsid w:val="00462F86"/>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1">
    <w:name w:val="Světlá mřížka1"/>
    <w:basedOn w:val="Normlntabulka"/>
    <w:next w:val="Svtlmka"/>
    <w:uiPriority w:val="62"/>
    <w:rsid w:val="00462F86"/>
    <w:pPr>
      <w:spacing w:before="0"/>
      <w:jc w:val="left"/>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itulek">
    <w:name w:val="caption"/>
    <w:basedOn w:val="Normln"/>
    <w:next w:val="Normln"/>
    <w:uiPriority w:val="35"/>
    <w:unhideWhenUsed/>
    <w:qFormat/>
    <w:rsid w:val="00462F86"/>
    <w:pPr>
      <w:spacing w:before="0" w:after="200" w:line="240" w:lineRule="auto"/>
    </w:pPr>
    <w:rPr>
      <w:b/>
      <w:bCs/>
      <w:color w:val="4F81BD" w:themeColor="accent1"/>
      <w:sz w:val="18"/>
      <w:szCs w:val="18"/>
    </w:rPr>
  </w:style>
  <w:style w:type="table" w:customStyle="1" w:styleId="Svtlmka2">
    <w:name w:val="Světlá mřížka2"/>
    <w:basedOn w:val="Normlntabulka"/>
    <w:next w:val="Svtlmka"/>
    <w:uiPriority w:val="62"/>
    <w:rsid w:val="001C596F"/>
    <w:pPr>
      <w:spacing w:before="0"/>
      <w:jc w:val="left"/>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tednseznam2">
    <w:name w:val="Medium List 2"/>
    <w:basedOn w:val="Normlntabulka"/>
    <w:uiPriority w:val="66"/>
    <w:rsid w:val="001C596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1">
    <w:name w:val="Medium List 1"/>
    <w:basedOn w:val="Normlntabulka"/>
    <w:uiPriority w:val="65"/>
    <w:rsid w:val="001C596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Zhlav">
    <w:name w:val="header"/>
    <w:basedOn w:val="Normln"/>
    <w:link w:val="ZhlavChar"/>
    <w:uiPriority w:val="99"/>
    <w:unhideWhenUsed/>
    <w:rsid w:val="00E84B43"/>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E84B43"/>
    <w:rPr>
      <w:rFonts w:ascii="Times New Roman" w:hAnsi="Times New Roman"/>
      <w:sz w:val="24"/>
    </w:rPr>
  </w:style>
  <w:style w:type="paragraph" w:styleId="Zpat">
    <w:name w:val="footer"/>
    <w:basedOn w:val="Normln"/>
    <w:link w:val="ZpatChar"/>
    <w:uiPriority w:val="99"/>
    <w:unhideWhenUsed/>
    <w:rsid w:val="00E84B43"/>
    <w:pPr>
      <w:tabs>
        <w:tab w:val="center" w:pos="4536"/>
        <w:tab w:val="right" w:pos="9072"/>
      </w:tabs>
      <w:spacing w:before="0" w:line="240" w:lineRule="auto"/>
    </w:pPr>
  </w:style>
  <w:style w:type="character" w:customStyle="1" w:styleId="ZpatChar">
    <w:name w:val="Zápatí Char"/>
    <w:basedOn w:val="Standardnpsmoodstavce"/>
    <w:link w:val="Zpat"/>
    <w:uiPriority w:val="99"/>
    <w:rsid w:val="00E84B43"/>
    <w:rPr>
      <w:rFonts w:ascii="Times New Roman" w:hAnsi="Times New Roman"/>
      <w:sz w:val="24"/>
    </w:rPr>
  </w:style>
  <w:style w:type="paragraph" w:customStyle="1" w:styleId="Nadpis41">
    <w:name w:val="Nadpis 41"/>
    <w:basedOn w:val="Normln"/>
    <w:next w:val="Normln"/>
    <w:uiPriority w:val="9"/>
    <w:semiHidden/>
    <w:unhideWhenUsed/>
    <w:qFormat/>
    <w:rsid w:val="003776DA"/>
    <w:pPr>
      <w:keepNext/>
      <w:tabs>
        <w:tab w:val="num" w:pos="2880"/>
      </w:tabs>
      <w:spacing w:before="240" w:after="60" w:line="240" w:lineRule="auto"/>
      <w:ind w:left="2880" w:hanging="720"/>
      <w:jc w:val="left"/>
      <w:outlineLvl w:val="3"/>
    </w:pPr>
    <w:rPr>
      <w:rFonts w:ascii="Calibri" w:eastAsia="Times New Roman" w:hAnsi="Calibri"/>
      <w:b/>
      <w:bCs/>
      <w:sz w:val="28"/>
      <w:szCs w:val="28"/>
      <w:lang w:val="en-US"/>
    </w:rPr>
  </w:style>
  <w:style w:type="paragraph" w:customStyle="1" w:styleId="Nadpis51">
    <w:name w:val="Nadpis 51"/>
    <w:basedOn w:val="Normln"/>
    <w:next w:val="Normln"/>
    <w:uiPriority w:val="9"/>
    <w:semiHidden/>
    <w:unhideWhenUsed/>
    <w:qFormat/>
    <w:rsid w:val="003776DA"/>
    <w:pPr>
      <w:tabs>
        <w:tab w:val="num" w:pos="3600"/>
      </w:tabs>
      <w:spacing w:before="240" w:after="60" w:line="240" w:lineRule="auto"/>
      <w:ind w:left="3600" w:hanging="720"/>
      <w:jc w:val="left"/>
      <w:outlineLvl w:val="4"/>
    </w:pPr>
    <w:rPr>
      <w:rFonts w:ascii="Calibri" w:eastAsia="Times New Roman" w:hAnsi="Calibri"/>
      <w:b/>
      <w:bCs/>
      <w:i/>
      <w:iCs/>
      <w:sz w:val="26"/>
      <w:szCs w:val="26"/>
      <w:lang w:val="en-US"/>
    </w:rPr>
  </w:style>
  <w:style w:type="character" w:customStyle="1" w:styleId="Nadpis6Char">
    <w:name w:val="Nadpis 6 Char"/>
    <w:basedOn w:val="Standardnpsmoodstavce"/>
    <w:link w:val="Nadpis6"/>
    <w:rsid w:val="003776DA"/>
    <w:rPr>
      <w:rFonts w:ascii="Times New Roman" w:eastAsia="Times New Roman" w:hAnsi="Times New Roman" w:cs="Times New Roman"/>
      <w:b/>
      <w:bCs/>
      <w:lang w:val="en-US"/>
    </w:rPr>
  </w:style>
  <w:style w:type="paragraph" w:customStyle="1" w:styleId="Nadpis71">
    <w:name w:val="Nadpis 71"/>
    <w:basedOn w:val="Normln"/>
    <w:next w:val="Normln"/>
    <w:uiPriority w:val="9"/>
    <w:semiHidden/>
    <w:unhideWhenUsed/>
    <w:qFormat/>
    <w:rsid w:val="003776DA"/>
    <w:pPr>
      <w:tabs>
        <w:tab w:val="num" w:pos="5040"/>
      </w:tabs>
      <w:spacing w:before="240" w:after="60" w:line="240" w:lineRule="auto"/>
      <w:ind w:left="5040" w:hanging="720"/>
      <w:jc w:val="left"/>
      <w:outlineLvl w:val="6"/>
    </w:pPr>
    <w:rPr>
      <w:rFonts w:ascii="Calibri" w:eastAsia="Times New Roman" w:hAnsi="Calibri"/>
      <w:szCs w:val="24"/>
      <w:lang w:val="en-US"/>
    </w:rPr>
  </w:style>
  <w:style w:type="paragraph" w:customStyle="1" w:styleId="Nadpis81">
    <w:name w:val="Nadpis 81"/>
    <w:basedOn w:val="Normln"/>
    <w:next w:val="Normln"/>
    <w:uiPriority w:val="9"/>
    <w:semiHidden/>
    <w:unhideWhenUsed/>
    <w:qFormat/>
    <w:rsid w:val="003776DA"/>
    <w:pPr>
      <w:tabs>
        <w:tab w:val="num" w:pos="5760"/>
      </w:tabs>
      <w:spacing w:before="240" w:after="60" w:line="240" w:lineRule="auto"/>
      <w:ind w:left="5760" w:hanging="720"/>
      <w:jc w:val="left"/>
      <w:outlineLvl w:val="7"/>
    </w:pPr>
    <w:rPr>
      <w:rFonts w:ascii="Calibri" w:eastAsia="Times New Roman" w:hAnsi="Calibri"/>
      <w:i/>
      <w:iCs/>
      <w:szCs w:val="24"/>
      <w:lang w:val="en-US"/>
    </w:rPr>
  </w:style>
  <w:style w:type="paragraph" w:customStyle="1" w:styleId="Nadpis91">
    <w:name w:val="Nadpis 91"/>
    <w:basedOn w:val="Normln"/>
    <w:next w:val="Normln"/>
    <w:uiPriority w:val="9"/>
    <w:semiHidden/>
    <w:unhideWhenUsed/>
    <w:qFormat/>
    <w:rsid w:val="003776DA"/>
    <w:pPr>
      <w:tabs>
        <w:tab w:val="num" w:pos="6480"/>
      </w:tabs>
      <w:spacing w:before="240" w:after="60" w:line="240" w:lineRule="auto"/>
      <w:ind w:left="6480" w:hanging="720"/>
      <w:jc w:val="left"/>
      <w:outlineLvl w:val="8"/>
    </w:pPr>
    <w:rPr>
      <w:rFonts w:ascii="Cambria" w:eastAsia="Times New Roman" w:hAnsi="Cambria" w:cs="Times New Roman"/>
      <w:sz w:val="22"/>
      <w:lang w:val="en-US"/>
    </w:rPr>
  </w:style>
  <w:style w:type="numbering" w:customStyle="1" w:styleId="Bezseznamu1">
    <w:name w:val="Bez seznamu1"/>
    <w:next w:val="Bezseznamu"/>
    <w:uiPriority w:val="99"/>
    <w:semiHidden/>
    <w:unhideWhenUsed/>
    <w:rsid w:val="003776DA"/>
  </w:style>
  <w:style w:type="character" w:customStyle="1" w:styleId="Nadpis4Char">
    <w:name w:val="Nadpis 4 Char"/>
    <w:basedOn w:val="Standardnpsmoodstavce"/>
    <w:link w:val="Nadpis4"/>
    <w:rsid w:val="00620BFE"/>
    <w:rPr>
      <w:rFonts w:ascii="Times New Roman" w:eastAsia="Times New Roman" w:hAnsi="Times New Roman" w:cs="Times New Roman"/>
      <w:bCs/>
      <w:sz w:val="24"/>
      <w:szCs w:val="28"/>
    </w:rPr>
  </w:style>
  <w:style w:type="character" w:customStyle="1" w:styleId="Nadpis5Char">
    <w:name w:val="Nadpis 5 Char"/>
    <w:basedOn w:val="Standardnpsmoodstavce"/>
    <w:link w:val="Nadpis5"/>
    <w:uiPriority w:val="9"/>
    <w:rsid w:val="003776DA"/>
    <w:rPr>
      <w:rFonts w:ascii="Calibri" w:eastAsia="Times New Roman" w:hAnsi="Calibri" w:cs="Times New Roman"/>
      <w:b/>
      <w:bCs/>
      <w:i/>
      <w:iCs/>
      <w:sz w:val="26"/>
      <w:szCs w:val="26"/>
    </w:rPr>
  </w:style>
  <w:style w:type="character" w:customStyle="1" w:styleId="Nadpis7Char">
    <w:name w:val="Nadpis 7 Char"/>
    <w:basedOn w:val="Standardnpsmoodstavce"/>
    <w:link w:val="Nadpis7"/>
    <w:uiPriority w:val="9"/>
    <w:semiHidden/>
    <w:rsid w:val="003776DA"/>
    <w:rPr>
      <w:rFonts w:ascii="Calibri" w:eastAsia="Times New Roman" w:hAnsi="Calibri" w:cs="Times New Roman"/>
      <w:sz w:val="24"/>
      <w:szCs w:val="24"/>
    </w:rPr>
  </w:style>
  <w:style w:type="character" w:customStyle="1" w:styleId="Nadpis8Char">
    <w:name w:val="Nadpis 8 Char"/>
    <w:basedOn w:val="Standardnpsmoodstavce"/>
    <w:link w:val="Nadpis8"/>
    <w:uiPriority w:val="9"/>
    <w:semiHidden/>
    <w:rsid w:val="003776DA"/>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semiHidden/>
    <w:rsid w:val="003776DA"/>
    <w:rPr>
      <w:rFonts w:ascii="Cambria" w:eastAsia="Times New Roman" w:hAnsi="Cambria" w:cs="Times New Roman"/>
      <w:sz w:val="22"/>
      <w:szCs w:val="22"/>
    </w:rPr>
  </w:style>
  <w:style w:type="character" w:customStyle="1" w:styleId="Nadpis4Char1">
    <w:name w:val="Nadpis 4 Char1"/>
    <w:basedOn w:val="Standardnpsmoodstavce"/>
    <w:uiPriority w:val="9"/>
    <w:semiHidden/>
    <w:rsid w:val="003776DA"/>
    <w:rPr>
      <w:rFonts w:asciiTheme="majorHAnsi" w:eastAsiaTheme="majorEastAsia" w:hAnsiTheme="majorHAnsi" w:cstheme="majorBidi"/>
      <w:b/>
      <w:bCs/>
      <w:i/>
      <w:iCs/>
      <w:color w:val="4F81BD" w:themeColor="accent1"/>
      <w:sz w:val="24"/>
    </w:rPr>
  </w:style>
  <w:style w:type="character" w:customStyle="1" w:styleId="Nadpis5Char1">
    <w:name w:val="Nadpis 5 Char1"/>
    <w:basedOn w:val="Standardnpsmoodstavce"/>
    <w:uiPriority w:val="9"/>
    <w:semiHidden/>
    <w:rsid w:val="003776DA"/>
    <w:rPr>
      <w:rFonts w:asciiTheme="majorHAnsi" w:eastAsiaTheme="majorEastAsia" w:hAnsiTheme="majorHAnsi" w:cstheme="majorBidi"/>
      <w:color w:val="243F60" w:themeColor="accent1" w:themeShade="7F"/>
      <w:sz w:val="24"/>
    </w:rPr>
  </w:style>
  <w:style w:type="character" w:customStyle="1" w:styleId="Nadpis7Char1">
    <w:name w:val="Nadpis 7 Char1"/>
    <w:basedOn w:val="Standardnpsmoodstavce"/>
    <w:uiPriority w:val="9"/>
    <w:semiHidden/>
    <w:rsid w:val="003776DA"/>
    <w:rPr>
      <w:rFonts w:asciiTheme="majorHAnsi" w:eastAsiaTheme="majorEastAsia" w:hAnsiTheme="majorHAnsi" w:cstheme="majorBidi"/>
      <w:i/>
      <w:iCs/>
      <w:color w:val="404040" w:themeColor="text1" w:themeTint="BF"/>
      <w:sz w:val="24"/>
    </w:rPr>
  </w:style>
  <w:style w:type="character" w:customStyle="1" w:styleId="Nadpis8Char1">
    <w:name w:val="Nadpis 8 Char1"/>
    <w:basedOn w:val="Standardnpsmoodstavce"/>
    <w:uiPriority w:val="9"/>
    <w:semiHidden/>
    <w:rsid w:val="003776DA"/>
    <w:rPr>
      <w:rFonts w:asciiTheme="majorHAnsi" w:eastAsiaTheme="majorEastAsia" w:hAnsiTheme="majorHAnsi" w:cstheme="majorBidi"/>
      <w:color w:val="404040" w:themeColor="text1" w:themeTint="BF"/>
      <w:sz w:val="20"/>
      <w:szCs w:val="20"/>
    </w:rPr>
  </w:style>
  <w:style w:type="character" w:customStyle="1" w:styleId="Nadpis9Char1">
    <w:name w:val="Nadpis 9 Char1"/>
    <w:basedOn w:val="Standardnpsmoodstavce"/>
    <w:uiPriority w:val="9"/>
    <w:semiHidden/>
    <w:rsid w:val="003776DA"/>
    <w:rPr>
      <w:rFonts w:asciiTheme="majorHAnsi" w:eastAsiaTheme="majorEastAsia" w:hAnsiTheme="majorHAnsi" w:cstheme="majorBidi"/>
      <w:i/>
      <w:iCs/>
      <w:color w:val="404040" w:themeColor="text1" w:themeTint="BF"/>
      <w:sz w:val="20"/>
      <w:szCs w:val="20"/>
    </w:rPr>
  </w:style>
  <w:style w:type="paragraph" w:styleId="Bibliografie">
    <w:name w:val="Bibliography"/>
    <w:basedOn w:val="Normln"/>
    <w:next w:val="Normln"/>
    <w:uiPriority w:val="37"/>
    <w:unhideWhenUsed/>
    <w:rsid w:val="00BB1DF1"/>
  </w:style>
  <w:style w:type="paragraph" w:styleId="FormtovanvHTML">
    <w:name w:val="HTML Preformatted"/>
    <w:basedOn w:val="Normln"/>
    <w:link w:val="FormtovanvHTMLChar"/>
    <w:uiPriority w:val="99"/>
    <w:semiHidden/>
    <w:unhideWhenUsed/>
    <w:rsid w:val="00026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26C1C"/>
    <w:rPr>
      <w:rFonts w:ascii="Courier New" w:eastAsia="Times New Roman" w:hAnsi="Courier New" w:cs="Courier New"/>
      <w:sz w:val="20"/>
      <w:szCs w:val="20"/>
      <w:lang w:eastAsia="cs-CZ"/>
    </w:rPr>
  </w:style>
  <w:style w:type="character" w:styleId="Zvraznn">
    <w:name w:val="Emphasis"/>
    <w:basedOn w:val="Standardnpsmoodstavce"/>
    <w:uiPriority w:val="20"/>
    <w:qFormat/>
    <w:rsid w:val="00954D74"/>
    <w:rPr>
      <w:i/>
      <w:iCs/>
    </w:rPr>
  </w:style>
  <w:style w:type="character" w:customStyle="1" w:styleId="h1a">
    <w:name w:val="h1a"/>
    <w:basedOn w:val="Standardnpsmoodstavce"/>
    <w:rsid w:val="004E7F31"/>
  </w:style>
  <w:style w:type="table" w:customStyle="1" w:styleId="TableNormal">
    <w:name w:val="Table Normal"/>
    <w:rsid w:val="009B70FF"/>
    <w:pPr>
      <w:pBdr>
        <w:top w:val="nil"/>
        <w:left w:val="nil"/>
        <w:bottom w:val="nil"/>
        <w:right w:val="nil"/>
        <w:between w:val="nil"/>
        <w:bar w:val="nil"/>
      </w:pBdr>
      <w:spacing w:before="0"/>
      <w:jc w:val="left"/>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customStyle="1" w:styleId="Zhlavazpat">
    <w:name w:val="Záhlaví a zápatí"/>
    <w:rsid w:val="009B70FF"/>
    <w:pPr>
      <w:pBdr>
        <w:top w:val="nil"/>
        <w:left w:val="nil"/>
        <w:bottom w:val="nil"/>
        <w:right w:val="nil"/>
        <w:between w:val="nil"/>
        <w:bar w:val="nil"/>
      </w:pBdr>
      <w:tabs>
        <w:tab w:val="right" w:pos="9020"/>
      </w:tabs>
      <w:spacing w:before="0"/>
      <w:jc w:val="left"/>
    </w:pPr>
    <w:rPr>
      <w:rFonts w:ascii="Helvetica Neue" w:eastAsia="Arial Unicode MS" w:hAnsi="Helvetica Neue" w:cs="Arial Unicode MS"/>
      <w:color w:val="000000"/>
      <w:sz w:val="24"/>
      <w:szCs w:val="24"/>
      <w:bdr w:val="nil"/>
      <w:lang w:eastAsia="cs-CZ"/>
    </w:rPr>
  </w:style>
  <w:style w:type="paragraph" w:customStyle="1" w:styleId="Default">
    <w:name w:val="Default"/>
    <w:rsid w:val="009B70FF"/>
    <w:pPr>
      <w:pBdr>
        <w:top w:val="nil"/>
        <w:left w:val="nil"/>
        <w:bottom w:val="nil"/>
        <w:right w:val="nil"/>
        <w:between w:val="nil"/>
        <w:bar w:val="nil"/>
      </w:pBdr>
      <w:spacing w:before="0"/>
      <w:jc w:val="left"/>
    </w:pPr>
    <w:rPr>
      <w:rFonts w:ascii="Times New Roman" w:eastAsia="Arial Unicode MS" w:hAnsi="Times New Roman" w:cs="Arial Unicode MS"/>
      <w:color w:val="000000"/>
      <w:sz w:val="24"/>
      <w:szCs w:val="24"/>
      <w:u w:color="000000"/>
      <w:bdr w:val="nil"/>
      <w:lang w:eastAsia="cs-CZ"/>
    </w:rPr>
  </w:style>
  <w:style w:type="paragraph" w:styleId="Obsah4">
    <w:name w:val="toc 4"/>
    <w:rsid w:val="009B70FF"/>
    <w:pPr>
      <w:pBdr>
        <w:top w:val="nil"/>
        <w:left w:val="nil"/>
        <w:bottom w:val="nil"/>
        <w:right w:val="nil"/>
        <w:between w:val="nil"/>
        <w:bar w:val="nil"/>
      </w:pBdr>
      <w:tabs>
        <w:tab w:val="left" w:pos="440"/>
        <w:tab w:val="right" w:leader="dot" w:pos="8194"/>
      </w:tabs>
      <w:spacing w:before="0" w:after="200" w:line="276" w:lineRule="auto"/>
      <w:jc w:val="left"/>
    </w:pPr>
    <w:rPr>
      <w:rFonts w:ascii="Calibri" w:eastAsia="Calibri" w:hAnsi="Calibri" w:cs="Calibri"/>
      <w:color w:val="000000"/>
      <w:bdr w:val="nil"/>
      <w:lang w:eastAsia="cs-CZ"/>
    </w:rPr>
  </w:style>
  <w:style w:type="numbering" w:customStyle="1" w:styleId="Importovanstyl1">
    <w:name w:val="Importovaný styl 1"/>
    <w:rsid w:val="009B70FF"/>
    <w:pPr>
      <w:numPr>
        <w:numId w:val="1"/>
      </w:numPr>
    </w:pPr>
  </w:style>
  <w:style w:type="paragraph" w:customStyle="1" w:styleId="VchozA">
    <w:name w:val="Výchozí A"/>
    <w:rsid w:val="009B70FF"/>
    <w:pPr>
      <w:pBdr>
        <w:top w:val="nil"/>
        <w:left w:val="nil"/>
        <w:bottom w:val="nil"/>
        <w:right w:val="nil"/>
        <w:between w:val="nil"/>
        <w:bar w:val="nil"/>
      </w:pBdr>
      <w:spacing w:before="0"/>
      <w:jc w:val="left"/>
    </w:pPr>
    <w:rPr>
      <w:rFonts w:ascii="Helvetica Neue" w:eastAsia="Arial Unicode MS" w:hAnsi="Helvetica Neue" w:cs="Arial Unicode MS"/>
      <w:color w:val="000000"/>
      <w:u w:color="000000"/>
      <w:bdr w:val="nil"/>
      <w:lang w:eastAsia="cs-CZ"/>
    </w:rPr>
  </w:style>
  <w:style w:type="numbering" w:customStyle="1" w:styleId="Importovanstyl2">
    <w:name w:val="Importovaný styl 2"/>
    <w:rsid w:val="009B70FF"/>
    <w:pPr>
      <w:numPr>
        <w:numId w:val="2"/>
      </w:numPr>
    </w:pPr>
  </w:style>
  <w:style w:type="numbering" w:customStyle="1" w:styleId="Importovanstyl3">
    <w:name w:val="Importovaný styl 3"/>
    <w:rsid w:val="009B70FF"/>
    <w:pPr>
      <w:numPr>
        <w:numId w:val="4"/>
      </w:numPr>
    </w:pPr>
  </w:style>
  <w:style w:type="paragraph" w:customStyle="1" w:styleId="Vchoz">
    <w:name w:val="Výchozí"/>
    <w:rsid w:val="009B70FF"/>
    <w:pPr>
      <w:pBdr>
        <w:top w:val="nil"/>
        <w:left w:val="nil"/>
        <w:bottom w:val="nil"/>
        <w:right w:val="nil"/>
        <w:between w:val="nil"/>
        <w:bar w:val="nil"/>
      </w:pBdr>
      <w:spacing w:before="0"/>
      <w:jc w:val="left"/>
    </w:pPr>
    <w:rPr>
      <w:rFonts w:ascii="Helvetica Neue" w:eastAsia="Arial Unicode MS" w:hAnsi="Helvetica Neue" w:cs="Arial Unicode MS"/>
      <w:color w:val="000000"/>
      <w:bdr w:val="nil"/>
      <w:lang w:eastAsia="cs-CZ"/>
    </w:rPr>
  </w:style>
  <w:style w:type="numbering" w:customStyle="1" w:styleId="Importovanstyl4">
    <w:name w:val="Importovaný styl 4"/>
    <w:rsid w:val="009B70FF"/>
    <w:pPr>
      <w:numPr>
        <w:numId w:val="6"/>
      </w:numPr>
    </w:pPr>
  </w:style>
  <w:style w:type="numbering" w:customStyle="1" w:styleId="Importovanstyl5">
    <w:name w:val="Importovaný styl 5"/>
    <w:rsid w:val="009B70FF"/>
    <w:pPr>
      <w:numPr>
        <w:numId w:val="8"/>
      </w:numPr>
    </w:pPr>
  </w:style>
  <w:style w:type="numbering" w:customStyle="1" w:styleId="Importovanstyl6">
    <w:name w:val="Importovaný styl 6"/>
    <w:rsid w:val="009B70FF"/>
    <w:pPr>
      <w:numPr>
        <w:numId w:val="10"/>
      </w:numPr>
    </w:pPr>
  </w:style>
  <w:style w:type="numbering" w:customStyle="1" w:styleId="Importovanstyl7">
    <w:name w:val="Importovaný styl 7"/>
    <w:rsid w:val="009B70FF"/>
    <w:pPr>
      <w:numPr>
        <w:numId w:val="12"/>
      </w:numPr>
    </w:pPr>
  </w:style>
  <w:style w:type="character" w:customStyle="1" w:styleId="dn">
    <w:name w:val="Žádný"/>
    <w:rsid w:val="009B70FF"/>
  </w:style>
  <w:style w:type="character" w:customStyle="1" w:styleId="Hyperlink0">
    <w:name w:val="Hyperlink.0"/>
    <w:basedOn w:val="dn"/>
    <w:rsid w:val="009B70FF"/>
    <w:rPr>
      <w:u w:color="FF0000"/>
    </w:rPr>
  </w:style>
  <w:style w:type="numbering" w:customStyle="1" w:styleId="Importovanstyl8">
    <w:name w:val="Importovaný styl 8"/>
    <w:rsid w:val="009B70FF"/>
    <w:pPr>
      <w:numPr>
        <w:numId w:val="14"/>
      </w:numPr>
    </w:pPr>
  </w:style>
  <w:style w:type="numbering" w:customStyle="1" w:styleId="Importovanstyl9">
    <w:name w:val="Importovaný styl 9"/>
    <w:rsid w:val="009B70FF"/>
    <w:pPr>
      <w:numPr>
        <w:numId w:val="16"/>
      </w:numPr>
    </w:pPr>
  </w:style>
  <w:style w:type="numbering" w:customStyle="1" w:styleId="Importovanstyl10">
    <w:name w:val="Importovaný styl 10"/>
    <w:rsid w:val="009B70FF"/>
    <w:pPr>
      <w:numPr>
        <w:numId w:val="18"/>
      </w:numPr>
    </w:pPr>
  </w:style>
  <w:style w:type="numbering" w:customStyle="1" w:styleId="Importovanstyl11">
    <w:name w:val="Importovaný styl 11"/>
    <w:rsid w:val="009B70FF"/>
    <w:pPr>
      <w:numPr>
        <w:numId w:val="20"/>
      </w:numPr>
    </w:pPr>
  </w:style>
  <w:style w:type="numbering" w:customStyle="1" w:styleId="Odrky">
    <w:name w:val="Odrážky"/>
    <w:rsid w:val="009B70FF"/>
    <w:pPr>
      <w:numPr>
        <w:numId w:val="22"/>
      </w:numPr>
    </w:pPr>
  </w:style>
  <w:style w:type="numbering" w:customStyle="1" w:styleId="Importovanstyl12">
    <w:name w:val="Importovaný styl 12"/>
    <w:rsid w:val="009B70FF"/>
    <w:pPr>
      <w:numPr>
        <w:numId w:val="24"/>
      </w:numPr>
    </w:pPr>
  </w:style>
  <w:style w:type="numbering" w:customStyle="1" w:styleId="Importovanstyl13">
    <w:name w:val="Importovaný styl 13"/>
    <w:rsid w:val="009B70FF"/>
    <w:pPr>
      <w:numPr>
        <w:numId w:val="26"/>
      </w:numPr>
    </w:pPr>
  </w:style>
  <w:style w:type="numbering" w:customStyle="1" w:styleId="Importovanstyl14">
    <w:name w:val="Importovaný styl 14"/>
    <w:rsid w:val="009B70FF"/>
    <w:pPr>
      <w:numPr>
        <w:numId w:val="28"/>
      </w:numPr>
    </w:pPr>
  </w:style>
  <w:style w:type="numbering" w:customStyle="1" w:styleId="Importovanstyl15">
    <w:name w:val="Importovaný styl 15"/>
    <w:rsid w:val="009B70FF"/>
    <w:pPr>
      <w:numPr>
        <w:numId w:val="30"/>
      </w:numPr>
    </w:pPr>
  </w:style>
  <w:style w:type="paragraph" w:styleId="Nzev">
    <w:name w:val="Title"/>
    <w:basedOn w:val="Normln"/>
    <w:next w:val="Normln"/>
    <w:link w:val="NzevChar"/>
    <w:uiPriority w:val="10"/>
    <w:qFormat/>
    <w:rsid w:val="009B70FF"/>
    <w:pPr>
      <w:pBdr>
        <w:top w:val="nil"/>
        <w:left w:val="nil"/>
        <w:bottom w:val="single" w:sz="8" w:space="4" w:color="4F81BD" w:themeColor="accent1"/>
        <w:right w:val="nil"/>
        <w:between w:val="nil"/>
        <w:bar w:val="nil"/>
      </w:pBdr>
      <w:spacing w:before="0"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u w:color="000000"/>
      <w:bdr w:val="nil"/>
      <w:lang w:eastAsia="cs-CZ"/>
    </w:rPr>
  </w:style>
  <w:style w:type="character" w:customStyle="1" w:styleId="NzevChar">
    <w:name w:val="Název Char"/>
    <w:basedOn w:val="Standardnpsmoodstavce"/>
    <w:link w:val="Nzev"/>
    <w:uiPriority w:val="10"/>
    <w:rsid w:val="009B70FF"/>
    <w:rPr>
      <w:rFonts w:asciiTheme="majorHAnsi" w:eastAsiaTheme="majorEastAsia" w:hAnsiTheme="majorHAnsi" w:cstheme="majorBidi"/>
      <w:color w:val="17365D" w:themeColor="text2" w:themeShade="BF"/>
      <w:spacing w:val="5"/>
      <w:kern w:val="28"/>
      <w:sz w:val="52"/>
      <w:szCs w:val="52"/>
      <w:u w:color="000000"/>
      <w:bdr w:val="nil"/>
      <w:lang w:eastAsia="cs-CZ"/>
    </w:rPr>
  </w:style>
  <w:style w:type="paragraph" w:styleId="Textvysvtlivek">
    <w:name w:val="endnote text"/>
    <w:basedOn w:val="Normln"/>
    <w:link w:val="TextvysvtlivekChar"/>
    <w:uiPriority w:val="99"/>
    <w:semiHidden/>
    <w:unhideWhenUsed/>
    <w:rsid w:val="00BF6AD2"/>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BF6AD2"/>
    <w:rPr>
      <w:rFonts w:ascii="Times New Roman" w:hAnsi="Times New Roman"/>
      <w:sz w:val="20"/>
      <w:szCs w:val="20"/>
    </w:rPr>
  </w:style>
  <w:style w:type="character" w:styleId="Odkaznavysvtlivky">
    <w:name w:val="endnote reference"/>
    <w:basedOn w:val="Standardnpsmoodstavce"/>
    <w:uiPriority w:val="99"/>
    <w:semiHidden/>
    <w:unhideWhenUsed/>
    <w:rsid w:val="00BF6AD2"/>
    <w:rPr>
      <w:vertAlign w:val="superscript"/>
    </w:rPr>
  </w:style>
  <w:style w:type="character" w:customStyle="1" w:styleId="Odkaz">
    <w:name w:val="Odkaz"/>
    <w:rsid w:val="00D16E75"/>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409">
      <w:bodyDiv w:val="1"/>
      <w:marLeft w:val="0"/>
      <w:marRight w:val="0"/>
      <w:marTop w:val="0"/>
      <w:marBottom w:val="0"/>
      <w:divBdr>
        <w:top w:val="none" w:sz="0" w:space="0" w:color="auto"/>
        <w:left w:val="none" w:sz="0" w:space="0" w:color="auto"/>
        <w:bottom w:val="none" w:sz="0" w:space="0" w:color="auto"/>
        <w:right w:val="none" w:sz="0" w:space="0" w:color="auto"/>
      </w:divBdr>
    </w:div>
    <w:div w:id="157233873">
      <w:bodyDiv w:val="1"/>
      <w:marLeft w:val="0"/>
      <w:marRight w:val="0"/>
      <w:marTop w:val="0"/>
      <w:marBottom w:val="0"/>
      <w:divBdr>
        <w:top w:val="none" w:sz="0" w:space="0" w:color="auto"/>
        <w:left w:val="none" w:sz="0" w:space="0" w:color="auto"/>
        <w:bottom w:val="none" w:sz="0" w:space="0" w:color="auto"/>
        <w:right w:val="none" w:sz="0" w:space="0" w:color="auto"/>
      </w:divBdr>
    </w:div>
    <w:div w:id="170029421">
      <w:bodyDiv w:val="1"/>
      <w:marLeft w:val="0"/>
      <w:marRight w:val="0"/>
      <w:marTop w:val="0"/>
      <w:marBottom w:val="0"/>
      <w:divBdr>
        <w:top w:val="none" w:sz="0" w:space="0" w:color="auto"/>
        <w:left w:val="none" w:sz="0" w:space="0" w:color="auto"/>
        <w:bottom w:val="none" w:sz="0" w:space="0" w:color="auto"/>
        <w:right w:val="none" w:sz="0" w:space="0" w:color="auto"/>
      </w:divBdr>
    </w:div>
    <w:div w:id="191458829">
      <w:bodyDiv w:val="1"/>
      <w:marLeft w:val="0"/>
      <w:marRight w:val="0"/>
      <w:marTop w:val="0"/>
      <w:marBottom w:val="0"/>
      <w:divBdr>
        <w:top w:val="none" w:sz="0" w:space="0" w:color="auto"/>
        <w:left w:val="none" w:sz="0" w:space="0" w:color="auto"/>
        <w:bottom w:val="none" w:sz="0" w:space="0" w:color="auto"/>
        <w:right w:val="none" w:sz="0" w:space="0" w:color="auto"/>
      </w:divBdr>
    </w:div>
    <w:div w:id="195318128">
      <w:bodyDiv w:val="1"/>
      <w:marLeft w:val="0"/>
      <w:marRight w:val="0"/>
      <w:marTop w:val="0"/>
      <w:marBottom w:val="0"/>
      <w:divBdr>
        <w:top w:val="none" w:sz="0" w:space="0" w:color="auto"/>
        <w:left w:val="none" w:sz="0" w:space="0" w:color="auto"/>
        <w:bottom w:val="none" w:sz="0" w:space="0" w:color="auto"/>
        <w:right w:val="none" w:sz="0" w:space="0" w:color="auto"/>
      </w:divBdr>
    </w:div>
    <w:div w:id="219563180">
      <w:bodyDiv w:val="1"/>
      <w:marLeft w:val="0"/>
      <w:marRight w:val="0"/>
      <w:marTop w:val="0"/>
      <w:marBottom w:val="0"/>
      <w:divBdr>
        <w:top w:val="none" w:sz="0" w:space="0" w:color="auto"/>
        <w:left w:val="none" w:sz="0" w:space="0" w:color="auto"/>
        <w:bottom w:val="none" w:sz="0" w:space="0" w:color="auto"/>
        <w:right w:val="none" w:sz="0" w:space="0" w:color="auto"/>
      </w:divBdr>
    </w:div>
    <w:div w:id="243227222">
      <w:bodyDiv w:val="1"/>
      <w:marLeft w:val="0"/>
      <w:marRight w:val="0"/>
      <w:marTop w:val="0"/>
      <w:marBottom w:val="0"/>
      <w:divBdr>
        <w:top w:val="none" w:sz="0" w:space="0" w:color="auto"/>
        <w:left w:val="none" w:sz="0" w:space="0" w:color="auto"/>
        <w:bottom w:val="none" w:sz="0" w:space="0" w:color="auto"/>
        <w:right w:val="none" w:sz="0" w:space="0" w:color="auto"/>
      </w:divBdr>
      <w:divsChild>
        <w:div w:id="264652001">
          <w:marLeft w:val="0"/>
          <w:marRight w:val="0"/>
          <w:marTop w:val="30"/>
          <w:marBottom w:val="0"/>
          <w:divBdr>
            <w:top w:val="none" w:sz="0" w:space="0" w:color="auto"/>
            <w:left w:val="none" w:sz="0" w:space="0" w:color="auto"/>
            <w:bottom w:val="none" w:sz="0" w:space="0" w:color="auto"/>
            <w:right w:val="none" w:sz="0" w:space="0" w:color="auto"/>
          </w:divBdr>
        </w:div>
      </w:divsChild>
    </w:div>
    <w:div w:id="258683544">
      <w:bodyDiv w:val="1"/>
      <w:marLeft w:val="0"/>
      <w:marRight w:val="0"/>
      <w:marTop w:val="0"/>
      <w:marBottom w:val="0"/>
      <w:divBdr>
        <w:top w:val="none" w:sz="0" w:space="0" w:color="auto"/>
        <w:left w:val="none" w:sz="0" w:space="0" w:color="auto"/>
        <w:bottom w:val="none" w:sz="0" w:space="0" w:color="auto"/>
        <w:right w:val="none" w:sz="0" w:space="0" w:color="auto"/>
      </w:divBdr>
    </w:div>
    <w:div w:id="270171008">
      <w:bodyDiv w:val="1"/>
      <w:marLeft w:val="0"/>
      <w:marRight w:val="0"/>
      <w:marTop w:val="0"/>
      <w:marBottom w:val="0"/>
      <w:divBdr>
        <w:top w:val="none" w:sz="0" w:space="0" w:color="auto"/>
        <w:left w:val="none" w:sz="0" w:space="0" w:color="auto"/>
        <w:bottom w:val="none" w:sz="0" w:space="0" w:color="auto"/>
        <w:right w:val="none" w:sz="0" w:space="0" w:color="auto"/>
      </w:divBdr>
    </w:div>
    <w:div w:id="278150085">
      <w:bodyDiv w:val="1"/>
      <w:marLeft w:val="0"/>
      <w:marRight w:val="0"/>
      <w:marTop w:val="0"/>
      <w:marBottom w:val="0"/>
      <w:divBdr>
        <w:top w:val="none" w:sz="0" w:space="0" w:color="auto"/>
        <w:left w:val="none" w:sz="0" w:space="0" w:color="auto"/>
        <w:bottom w:val="none" w:sz="0" w:space="0" w:color="auto"/>
        <w:right w:val="none" w:sz="0" w:space="0" w:color="auto"/>
      </w:divBdr>
      <w:divsChild>
        <w:div w:id="23335081">
          <w:marLeft w:val="0"/>
          <w:marRight w:val="0"/>
          <w:marTop w:val="0"/>
          <w:marBottom w:val="0"/>
          <w:divBdr>
            <w:top w:val="none" w:sz="0" w:space="0" w:color="auto"/>
            <w:left w:val="none" w:sz="0" w:space="0" w:color="auto"/>
            <w:bottom w:val="none" w:sz="0" w:space="0" w:color="auto"/>
            <w:right w:val="none" w:sz="0" w:space="0" w:color="auto"/>
          </w:divBdr>
        </w:div>
        <w:div w:id="672227444">
          <w:marLeft w:val="0"/>
          <w:marRight w:val="0"/>
          <w:marTop w:val="0"/>
          <w:marBottom w:val="0"/>
          <w:divBdr>
            <w:top w:val="none" w:sz="0" w:space="0" w:color="auto"/>
            <w:left w:val="none" w:sz="0" w:space="0" w:color="auto"/>
            <w:bottom w:val="none" w:sz="0" w:space="0" w:color="auto"/>
            <w:right w:val="none" w:sz="0" w:space="0" w:color="auto"/>
          </w:divBdr>
        </w:div>
        <w:div w:id="975065278">
          <w:marLeft w:val="0"/>
          <w:marRight w:val="0"/>
          <w:marTop w:val="0"/>
          <w:marBottom w:val="0"/>
          <w:divBdr>
            <w:top w:val="none" w:sz="0" w:space="0" w:color="auto"/>
            <w:left w:val="none" w:sz="0" w:space="0" w:color="auto"/>
            <w:bottom w:val="none" w:sz="0" w:space="0" w:color="auto"/>
            <w:right w:val="none" w:sz="0" w:space="0" w:color="auto"/>
          </w:divBdr>
        </w:div>
        <w:div w:id="1026492228">
          <w:marLeft w:val="0"/>
          <w:marRight w:val="0"/>
          <w:marTop w:val="0"/>
          <w:marBottom w:val="0"/>
          <w:divBdr>
            <w:top w:val="none" w:sz="0" w:space="0" w:color="auto"/>
            <w:left w:val="none" w:sz="0" w:space="0" w:color="auto"/>
            <w:bottom w:val="none" w:sz="0" w:space="0" w:color="auto"/>
            <w:right w:val="none" w:sz="0" w:space="0" w:color="auto"/>
          </w:divBdr>
        </w:div>
        <w:div w:id="1599409096">
          <w:marLeft w:val="0"/>
          <w:marRight w:val="0"/>
          <w:marTop w:val="0"/>
          <w:marBottom w:val="0"/>
          <w:divBdr>
            <w:top w:val="none" w:sz="0" w:space="0" w:color="auto"/>
            <w:left w:val="none" w:sz="0" w:space="0" w:color="auto"/>
            <w:bottom w:val="none" w:sz="0" w:space="0" w:color="auto"/>
            <w:right w:val="none" w:sz="0" w:space="0" w:color="auto"/>
          </w:divBdr>
        </w:div>
      </w:divsChild>
    </w:div>
    <w:div w:id="321012150">
      <w:bodyDiv w:val="1"/>
      <w:marLeft w:val="0"/>
      <w:marRight w:val="0"/>
      <w:marTop w:val="0"/>
      <w:marBottom w:val="0"/>
      <w:divBdr>
        <w:top w:val="none" w:sz="0" w:space="0" w:color="auto"/>
        <w:left w:val="none" w:sz="0" w:space="0" w:color="auto"/>
        <w:bottom w:val="none" w:sz="0" w:space="0" w:color="auto"/>
        <w:right w:val="none" w:sz="0" w:space="0" w:color="auto"/>
      </w:divBdr>
    </w:div>
    <w:div w:id="434328723">
      <w:bodyDiv w:val="1"/>
      <w:marLeft w:val="0"/>
      <w:marRight w:val="0"/>
      <w:marTop w:val="0"/>
      <w:marBottom w:val="0"/>
      <w:divBdr>
        <w:top w:val="none" w:sz="0" w:space="0" w:color="auto"/>
        <w:left w:val="none" w:sz="0" w:space="0" w:color="auto"/>
        <w:bottom w:val="none" w:sz="0" w:space="0" w:color="auto"/>
        <w:right w:val="none" w:sz="0" w:space="0" w:color="auto"/>
      </w:divBdr>
    </w:div>
    <w:div w:id="484396315">
      <w:bodyDiv w:val="1"/>
      <w:marLeft w:val="0"/>
      <w:marRight w:val="0"/>
      <w:marTop w:val="0"/>
      <w:marBottom w:val="0"/>
      <w:divBdr>
        <w:top w:val="none" w:sz="0" w:space="0" w:color="auto"/>
        <w:left w:val="none" w:sz="0" w:space="0" w:color="auto"/>
        <w:bottom w:val="none" w:sz="0" w:space="0" w:color="auto"/>
        <w:right w:val="none" w:sz="0" w:space="0" w:color="auto"/>
      </w:divBdr>
    </w:div>
    <w:div w:id="505217359">
      <w:bodyDiv w:val="1"/>
      <w:marLeft w:val="0"/>
      <w:marRight w:val="0"/>
      <w:marTop w:val="0"/>
      <w:marBottom w:val="0"/>
      <w:divBdr>
        <w:top w:val="none" w:sz="0" w:space="0" w:color="auto"/>
        <w:left w:val="none" w:sz="0" w:space="0" w:color="auto"/>
        <w:bottom w:val="none" w:sz="0" w:space="0" w:color="auto"/>
        <w:right w:val="none" w:sz="0" w:space="0" w:color="auto"/>
      </w:divBdr>
    </w:div>
    <w:div w:id="512040244">
      <w:bodyDiv w:val="1"/>
      <w:marLeft w:val="0"/>
      <w:marRight w:val="0"/>
      <w:marTop w:val="0"/>
      <w:marBottom w:val="0"/>
      <w:divBdr>
        <w:top w:val="none" w:sz="0" w:space="0" w:color="auto"/>
        <w:left w:val="none" w:sz="0" w:space="0" w:color="auto"/>
        <w:bottom w:val="none" w:sz="0" w:space="0" w:color="auto"/>
        <w:right w:val="none" w:sz="0" w:space="0" w:color="auto"/>
      </w:divBdr>
    </w:div>
    <w:div w:id="555942923">
      <w:bodyDiv w:val="1"/>
      <w:marLeft w:val="0"/>
      <w:marRight w:val="0"/>
      <w:marTop w:val="0"/>
      <w:marBottom w:val="0"/>
      <w:divBdr>
        <w:top w:val="none" w:sz="0" w:space="0" w:color="auto"/>
        <w:left w:val="none" w:sz="0" w:space="0" w:color="auto"/>
        <w:bottom w:val="none" w:sz="0" w:space="0" w:color="auto"/>
        <w:right w:val="none" w:sz="0" w:space="0" w:color="auto"/>
      </w:divBdr>
    </w:div>
    <w:div w:id="661279061">
      <w:bodyDiv w:val="1"/>
      <w:marLeft w:val="0"/>
      <w:marRight w:val="0"/>
      <w:marTop w:val="0"/>
      <w:marBottom w:val="0"/>
      <w:divBdr>
        <w:top w:val="none" w:sz="0" w:space="0" w:color="auto"/>
        <w:left w:val="none" w:sz="0" w:space="0" w:color="auto"/>
        <w:bottom w:val="none" w:sz="0" w:space="0" w:color="auto"/>
        <w:right w:val="none" w:sz="0" w:space="0" w:color="auto"/>
      </w:divBdr>
      <w:divsChild>
        <w:div w:id="1727292137">
          <w:marLeft w:val="0"/>
          <w:marRight w:val="0"/>
          <w:marTop w:val="0"/>
          <w:marBottom w:val="0"/>
          <w:divBdr>
            <w:top w:val="none" w:sz="0" w:space="0" w:color="auto"/>
            <w:left w:val="none" w:sz="0" w:space="0" w:color="auto"/>
            <w:bottom w:val="none" w:sz="0" w:space="0" w:color="auto"/>
            <w:right w:val="none" w:sz="0" w:space="0" w:color="auto"/>
          </w:divBdr>
          <w:divsChild>
            <w:div w:id="740130247">
              <w:marLeft w:val="0"/>
              <w:marRight w:val="0"/>
              <w:marTop w:val="0"/>
              <w:marBottom w:val="0"/>
              <w:divBdr>
                <w:top w:val="none" w:sz="0" w:space="0" w:color="auto"/>
                <w:left w:val="none" w:sz="0" w:space="0" w:color="auto"/>
                <w:bottom w:val="none" w:sz="0" w:space="0" w:color="auto"/>
                <w:right w:val="none" w:sz="0" w:space="0" w:color="auto"/>
              </w:divBdr>
              <w:divsChild>
                <w:div w:id="1546790098">
                  <w:marLeft w:val="0"/>
                  <w:marRight w:val="0"/>
                  <w:marTop w:val="0"/>
                  <w:marBottom w:val="0"/>
                  <w:divBdr>
                    <w:top w:val="none" w:sz="0" w:space="0" w:color="auto"/>
                    <w:left w:val="none" w:sz="0" w:space="0" w:color="auto"/>
                    <w:bottom w:val="none" w:sz="0" w:space="0" w:color="auto"/>
                    <w:right w:val="none" w:sz="0" w:space="0" w:color="auto"/>
                  </w:divBdr>
                  <w:divsChild>
                    <w:div w:id="1703360268">
                      <w:marLeft w:val="0"/>
                      <w:marRight w:val="0"/>
                      <w:marTop w:val="0"/>
                      <w:marBottom w:val="0"/>
                      <w:divBdr>
                        <w:top w:val="none" w:sz="0" w:space="0" w:color="auto"/>
                        <w:left w:val="none" w:sz="0" w:space="0" w:color="auto"/>
                        <w:bottom w:val="none" w:sz="0" w:space="0" w:color="auto"/>
                        <w:right w:val="none" w:sz="0" w:space="0" w:color="auto"/>
                      </w:divBdr>
                      <w:divsChild>
                        <w:div w:id="1566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19530">
      <w:bodyDiv w:val="1"/>
      <w:marLeft w:val="0"/>
      <w:marRight w:val="0"/>
      <w:marTop w:val="0"/>
      <w:marBottom w:val="0"/>
      <w:divBdr>
        <w:top w:val="none" w:sz="0" w:space="0" w:color="auto"/>
        <w:left w:val="none" w:sz="0" w:space="0" w:color="auto"/>
        <w:bottom w:val="none" w:sz="0" w:space="0" w:color="auto"/>
        <w:right w:val="none" w:sz="0" w:space="0" w:color="auto"/>
      </w:divBdr>
    </w:div>
    <w:div w:id="680089859">
      <w:bodyDiv w:val="1"/>
      <w:marLeft w:val="0"/>
      <w:marRight w:val="0"/>
      <w:marTop w:val="0"/>
      <w:marBottom w:val="0"/>
      <w:divBdr>
        <w:top w:val="none" w:sz="0" w:space="0" w:color="auto"/>
        <w:left w:val="none" w:sz="0" w:space="0" w:color="auto"/>
        <w:bottom w:val="none" w:sz="0" w:space="0" w:color="auto"/>
        <w:right w:val="none" w:sz="0" w:space="0" w:color="auto"/>
      </w:divBdr>
    </w:div>
    <w:div w:id="684593923">
      <w:bodyDiv w:val="1"/>
      <w:marLeft w:val="0"/>
      <w:marRight w:val="0"/>
      <w:marTop w:val="0"/>
      <w:marBottom w:val="0"/>
      <w:divBdr>
        <w:top w:val="none" w:sz="0" w:space="0" w:color="auto"/>
        <w:left w:val="none" w:sz="0" w:space="0" w:color="auto"/>
        <w:bottom w:val="none" w:sz="0" w:space="0" w:color="auto"/>
        <w:right w:val="none" w:sz="0" w:space="0" w:color="auto"/>
      </w:divBdr>
      <w:divsChild>
        <w:div w:id="567572051">
          <w:marLeft w:val="0"/>
          <w:marRight w:val="0"/>
          <w:marTop w:val="15"/>
          <w:marBottom w:val="0"/>
          <w:divBdr>
            <w:top w:val="none" w:sz="0" w:space="0" w:color="auto"/>
            <w:left w:val="none" w:sz="0" w:space="0" w:color="auto"/>
            <w:bottom w:val="none" w:sz="0" w:space="0" w:color="auto"/>
            <w:right w:val="none" w:sz="0" w:space="0" w:color="auto"/>
          </w:divBdr>
          <w:divsChild>
            <w:div w:id="528379566">
              <w:marLeft w:val="0"/>
              <w:marRight w:val="0"/>
              <w:marTop w:val="0"/>
              <w:marBottom w:val="0"/>
              <w:divBdr>
                <w:top w:val="none" w:sz="0" w:space="0" w:color="auto"/>
                <w:left w:val="none" w:sz="0" w:space="0" w:color="auto"/>
                <w:bottom w:val="none" w:sz="0" w:space="0" w:color="auto"/>
                <w:right w:val="none" w:sz="0" w:space="0" w:color="auto"/>
              </w:divBdr>
              <w:divsChild>
                <w:div w:id="53310153">
                  <w:marLeft w:val="0"/>
                  <w:marRight w:val="0"/>
                  <w:marTop w:val="0"/>
                  <w:marBottom w:val="0"/>
                  <w:divBdr>
                    <w:top w:val="none" w:sz="0" w:space="0" w:color="auto"/>
                    <w:left w:val="none" w:sz="0" w:space="0" w:color="auto"/>
                    <w:bottom w:val="none" w:sz="0" w:space="0" w:color="auto"/>
                    <w:right w:val="none" w:sz="0" w:space="0" w:color="auto"/>
                  </w:divBdr>
                </w:div>
                <w:div w:id="151677628">
                  <w:marLeft w:val="0"/>
                  <w:marRight w:val="0"/>
                  <w:marTop w:val="0"/>
                  <w:marBottom w:val="0"/>
                  <w:divBdr>
                    <w:top w:val="none" w:sz="0" w:space="0" w:color="auto"/>
                    <w:left w:val="none" w:sz="0" w:space="0" w:color="auto"/>
                    <w:bottom w:val="none" w:sz="0" w:space="0" w:color="auto"/>
                    <w:right w:val="none" w:sz="0" w:space="0" w:color="auto"/>
                  </w:divBdr>
                </w:div>
                <w:div w:id="300548592">
                  <w:marLeft w:val="0"/>
                  <w:marRight w:val="0"/>
                  <w:marTop w:val="0"/>
                  <w:marBottom w:val="0"/>
                  <w:divBdr>
                    <w:top w:val="none" w:sz="0" w:space="0" w:color="auto"/>
                    <w:left w:val="none" w:sz="0" w:space="0" w:color="auto"/>
                    <w:bottom w:val="none" w:sz="0" w:space="0" w:color="auto"/>
                    <w:right w:val="none" w:sz="0" w:space="0" w:color="auto"/>
                  </w:divBdr>
                </w:div>
                <w:div w:id="312376153">
                  <w:marLeft w:val="0"/>
                  <w:marRight w:val="0"/>
                  <w:marTop w:val="0"/>
                  <w:marBottom w:val="0"/>
                  <w:divBdr>
                    <w:top w:val="none" w:sz="0" w:space="0" w:color="auto"/>
                    <w:left w:val="none" w:sz="0" w:space="0" w:color="auto"/>
                    <w:bottom w:val="none" w:sz="0" w:space="0" w:color="auto"/>
                    <w:right w:val="none" w:sz="0" w:space="0" w:color="auto"/>
                  </w:divBdr>
                </w:div>
                <w:div w:id="380908982">
                  <w:marLeft w:val="0"/>
                  <w:marRight w:val="0"/>
                  <w:marTop w:val="0"/>
                  <w:marBottom w:val="0"/>
                  <w:divBdr>
                    <w:top w:val="none" w:sz="0" w:space="0" w:color="auto"/>
                    <w:left w:val="none" w:sz="0" w:space="0" w:color="auto"/>
                    <w:bottom w:val="none" w:sz="0" w:space="0" w:color="auto"/>
                    <w:right w:val="none" w:sz="0" w:space="0" w:color="auto"/>
                  </w:divBdr>
                </w:div>
                <w:div w:id="482283560">
                  <w:marLeft w:val="0"/>
                  <w:marRight w:val="0"/>
                  <w:marTop w:val="0"/>
                  <w:marBottom w:val="0"/>
                  <w:divBdr>
                    <w:top w:val="none" w:sz="0" w:space="0" w:color="auto"/>
                    <w:left w:val="none" w:sz="0" w:space="0" w:color="auto"/>
                    <w:bottom w:val="none" w:sz="0" w:space="0" w:color="auto"/>
                    <w:right w:val="none" w:sz="0" w:space="0" w:color="auto"/>
                  </w:divBdr>
                </w:div>
                <w:div w:id="504365080">
                  <w:marLeft w:val="0"/>
                  <w:marRight w:val="0"/>
                  <w:marTop w:val="0"/>
                  <w:marBottom w:val="0"/>
                  <w:divBdr>
                    <w:top w:val="none" w:sz="0" w:space="0" w:color="auto"/>
                    <w:left w:val="none" w:sz="0" w:space="0" w:color="auto"/>
                    <w:bottom w:val="none" w:sz="0" w:space="0" w:color="auto"/>
                    <w:right w:val="none" w:sz="0" w:space="0" w:color="auto"/>
                  </w:divBdr>
                </w:div>
                <w:div w:id="514878521">
                  <w:marLeft w:val="0"/>
                  <w:marRight w:val="0"/>
                  <w:marTop w:val="0"/>
                  <w:marBottom w:val="0"/>
                  <w:divBdr>
                    <w:top w:val="none" w:sz="0" w:space="0" w:color="auto"/>
                    <w:left w:val="none" w:sz="0" w:space="0" w:color="auto"/>
                    <w:bottom w:val="none" w:sz="0" w:space="0" w:color="auto"/>
                    <w:right w:val="none" w:sz="0" w:space="0" w:color="auto"/>
                  </w:divBdr>
                </w:div>
                <w:div w:id="552695486">
                  <w:marLeft w:val="0"/>
                  <w:marRight w:val="0"/>
                  <w:marTop w:val="0"/>
                  <w:marBottom w:val="0"/>
                  <w:divBdr>
                    <w:top w:val="none" w:sz="0" w:space="0" w:color="auto"/>
                    <w:left w:val="none" w:sz="0" w:space="0" w:color="auto"/>
                    <w:bottom w:val="none" w:sz="0" w:space="0" w:color="auto"/>
                    <w:right w:val="none" w:sz="0" w:space="0" w:color="auto"/>
                  </w:divBdr>
                </w:div>
                <w:div w:id="569191902">
                  <w:marLeft w:val="0"/>
                  <w:marRight w:val="0"/>
                  <w:marTop w:val="0"/>
                  <w:marBottom w:val="0"/>
                  <w:divBdr>
                    <w:top w:val="none" w:sz="0" w:space="0" w:color="auto"/>
                    <w:left w:val="none" w:sz="0" w:space="0" w:color="auto"/>
                    <w:bottom w:val="none" w:sz="0" w:space="0" w:color="auto"/>
                    <w:right w:val="none" w:sz="0" w:space="0" w:color="auto"/>
                  </w:divBdr>
                </w:div>
                <w:div w:id="599485909">
                  <w:marLeft w:val="0"/>
                  <w:marRight w:val="0"/>
                  <w:marTop w:val="0"/>
                  <w:marBottom w:val="0"/>
                  <w:divBdr>
                    <w:top w:val="none" w:sz="0" w:space="0" w:color="auto"/>
                    <w:left w:val="none" w:sz="0" w:space="0" w:color="auto"/>
                    <w:bottom w:val="none" w:sz="0" w:space="0" w:color="auto"/>
                    <w:right w:val="none" w:sz="0" w:space="0" w:color="auto"/>
                  </w:divBdr>
                </w:div>
                <w:div w:id="636879852">
                  <w:marLeft w:val="0"/>
                  <w:marRight w:val="0"/>
                  <w:marTop w:val="0"/>
                  <w:marBottom w:val="0"/>
                  <w:divBdr>
                    <w:top w:val="none" w:sz="0" w:space="0" w:color="auto"/>
                    <w:left w:val="none" w:sz="0" w:space="0" w:color="auto"/>
                    <w:bottom w:val="none" w:sz="0" w:space="0" w:color="auto"/>
                    <w:right w:val="none" w:sz="0" w:space="0" w:color="auto"/>
                  </w:divBdr>
                </w:div>
                <w:div w:id="684096608">
                  <w:marLeft w:val="0"/>
                  <w:marRight w:val="0"/>
                  <w:marTop w:val="0"/>
                  <w:marBottom w:val="0"/>
                  <w:divBdr>
                    <w:top w:val="none" w:sz="0" w:space="0" w:color="auto"/>
                    <w:left w:val="none" w:sz="0" w:space="0" w:color="auto"/>
                    <w:bottom w:val="none" w:sz="0" w:space="0" w:color="auto"/>
                    <w:right w:val="none" w:sz="0" w:space="0" w:color="auto"/>
                  </w:divBdr>
                </w:div>
                <w:div w:id="686833325">
                  <w:marLeft w:val="0"/>
                  <w:marRight w:val="0"/>
                  <w:marTop w:val="0"/>
                  <w:marBottom w:val="0"/>
                  <w:divBdr>
                    <w:top w:val="none" w:sz="0" w:space="0" w:color="auto"/>
                    <w:left w:val="none" w:sz="0" w:space="0" w:color="auto"/>
                    <w:bottom w:val="none" w:sz="0" w:space="0" w:color="auto"/>
                    <w:right w:val="none" w:sz="0" w:space="0" w:color="auto"/>
                  </w:divBdr>
                </w:div>
                <w:div w:id="701898712">
                  <w:marLeft w:val="0"/>
                  <w:marRight w:val="0"/>
                  <w:marTop w:val="0"/>
                  <w:marBottom w:val="0"/>
                  <w:divBdr>
                    <w:top w:val="none" w:sz="0" w:space="0" w:color="auto"/>
                    <w:left w:val="none" w:sz="0" w:space="0" w:color="auto"/>
                    <w:bottom w:val="none" w:sz="0" w:space="0" w:color="auto"/>
                    <w:right w:val="none" w:sz="0" w:space="0" w:color="auto"/>
                  </w:divBdr>
                </w:div>
                <w:div w:id="710685822">
                  <w:marLeft w:val="0"/>
                  <w:marRight w:val="0"/>
                  <w:marTop w:val="0"/>
                  <w:marBottom w:val="0"/>
                  <w:divBdr>
                    <w:top w:val="none" w:sz="0" w:space="0" w:color="auto"/>
                    <w:left w:val="none" w:sz="0" w:space="0" w:color="auto"/>
                    <w:bottom w:val="none" w:sz="0" w:space="0" w:color="auto"/>
                    <w:right w:val="none" w:sz="0" w:space="0" w:color="auto"/>
                  </w:divBdr>
                </w:div>
                <w:div w:id="745303616">
                  <w:marLeft w:val="0"/>
                  <w:marRight w:val="0"/>
                  <w:marTop w:val="0"/>
                  <w:marBottom w:val="0"/>
                  <w:divBdr>
                    <w:top w:val="none" w:sz="0" w:space="0" w:color="auto"/>
                    <w:left w:val="none" w:sz="0" w:space="0" w:color="auto"/>
                    <w:bottom w:val="none" w:sz="0" w:space="0" w:color="auto"/>
                    <w:right w:val="none" w:sz="0" w:space="0" w:color="auto"/>
                  </w:divBdr>
                </w:div>
                <w:div w:id="765468325">
                  <w:marLeft w:val="0"/>
                  <w:marRight w:val="0"/>
                  <w:marTop w:val="0"/>
                  <w:marBottom w:val="0"/>
                  <w:divBdr>
                    <w:top w:val="none" w:sz="0" w:space="0" w:color="auto"/>
                    <w:left w:val="none" w:sz="0" w:space="0" w:color="auto"/>
                    <w:bottom w:val="none" w:sz="0" w:space="0" w:color="auto"/>
                    <w:right w:val="none" w:sz="0" w:space="0" w:color="auto"/>
                  </w:divBdr>
                </w:div>
                <w:div w:id="804809602">
                  <w:marLeft w:val="0"/>
                  <w:marRight w:val="0"/>
                  <w:marTop w:val="0"/>
                  <w:marBottom w:val="0"/>
                  <w:divBdr>
                    <w:top w:val="none" w:sz="0" w:space="0" w:color="auto"/>
                    <w:left w:val="none" w:sz="0" w:space="0" w:color="auto"/>
                    <w:bottom w:val="none" w:sz="0" w:space="0" w:color="auto"/>
                    <w:right w:val="none" w:sz="0" w:space="0" w:color="auto"/>
                  </w:divBdr>
                </w:div>
                <w:div w:id="810682266">
                  <w:marLeft w:val="0"/>
                  <w:marRight w:val="0"/>
                  <w:marTop w:val="0"/>
                  <w:marBottom w:val="0"/>
                  <w:divBdr>
                    <w:top w:val="none" w:sz="0" w:space="0" w:color="auto"/>
                    <w:left w:val="none" w:sz="0" w:space="0" w:color="auto"/>
                    <w:bottom w:val="none" w:sz="0" w:space="0" w:color="auto"/>
                    <w:right w:val="none" w:sz="0" w:space="0" w:color="auto"/>
                  </w:divBdr>
                </w:div>
                <w:div w:id="812065008">
                  <w:marLeft w:val="0"/>
                  <w:marRight w:val="0"/>
                  <w:marTop w:val="0"/>
                  <w:marBottom w:val="0"/>
                  <w:divBdr>
                    <w:top w:val="none" w:sz="0" w:space="0" w:color="auto"/>
                    <w:left w:val="none" w:sz="0" w:space="0" w:color="auto"/>
                    <w:bottom w:val="none" w:sz="0" w:space="0" w:color="auto"/>
                    <w:right w:val="none" w:sz="0" w:space="0" w:color="auto"/>
                  </w:divBdr>
                </w:div>
                <w:div w:id="818955971">
                  <w:marLeft w:val="0"/>
                  <w:marRight w:val="0"/>
                  <w:marTop w:val="0"/>
                  <w:marBottom w:val="0"/>
                  <w:divBdr>
                    <w:top w:val="none" w:sz="0" w:space="0" w:color="auto"/>
                    <w:left w:val="none" w:sz="0" w:space="0" w:color="auto"/>
                    <w:bottom w:val="none" w:sz="0" w:space="0" w:color="auto"/>
                    <w:right w:val="none" w:sz="0" w:space="0" w:color="auto"/>
                  </w:divBdr>
                </w:div>
                <w:div w:id="954868901">
                  <w:marLeft w:val="0"/>
                  <w:marRight w:val="0"/>
                  <w:marTop w:val="0"/>
                  <w:marBottom w:val="0"/>
                  <w:divBdr>
                    <w:top w:val="none" w:sz="0" w:space="0" w:color="auto"/>
                    <w:left w:val="none" w:sz="0" w:space="0" w:color="auto"/>
                    <w:bottom w:val="none" w:sz="0" w:space="0" w:color="auto"/>
                    <w:right w:val="none" w:sz="0" w:space="0" w:color="auto"/>
                  </w:divBdr>
                </w:div>
                <w:div w:id="975253945">
                  <w:marLeft w:val="0"/>
                  <w:marRight w:val="0"/>
                  <w:marTop w:val="0"/>
                  <w:marBottom w:val="0"/>
                  <w:divBdr>
                    <w:top w:val="none" w:sz="0" w:space="0" w:color="auto"/>
                    <w:left w:val="none" w:sz="0" w:space="0" w:color="auto"/>
                    <w:bottom w:val="none" w:sz="0" w:space="0" w:color="auto"/>
                    <w:right w:val="none" w:sz="0" w:space="0" w:color="auto"/>
                  </w:divBdr>
                </w:div>
                <w:div w:id="985822644">
                  <w:marLeft w:val="0"/>
                  <w:marRight w:val="0"/>
                  <w:marTop w:val="0"/>
                  <w:marBottom w:val="0"/>
                  <w:divBdr>
                    <w:top w:val="none" w:sz="0" w:space="0" w:color="auto"/>
                    <w:left w:val="none" w:sz="0" w:space="0" w:color="auto"/>
                    <w:bottom w:val="none" w:sz="0" w:space="0" w:color="auto"/>
                    <w:right w:val="none" w:sz="0" w:space="0" w:color="auto"/>
                  </w:divBdr>
                </w:div>
                <w:div w:id="1033845139">
                  <w:marLeft w:val="0"/>
                  <w:marRight w:val="0"/>
                  <w:marTop w:val="0"/>
                  <w:marBottom w:val="0"/>
                  <w:divBdr>
                    <w:top w:val="none" w:sz="0" w:space="0" w:color="auto"/>
                    <w:left w:val="none" w:sz="0" w:space="0" w:color="auto"/>
                    <w:bottom w:val="none" w:sz="0" w:space="0" w:color="auto"/>
                    <w:right w:val="none" w:sz="0" w:space="0" w:color="auto"/>
                  </w:divBdr>
                </w:div>
                <w:div w:id="1076586135">
                  <w:marLeft w:val="0"/>
                  <w:marRight w:val="0"/>
                  <w:marTop w:val="0"/>
                  <w:marBottom w:val="0"/>
                  <w:divBdr>
                    <w:top w:val="none" w:sz="0" w:space="0" w:color="auto"/>
                    <w:left w:val="none" w:sz="0" w:space="0" w:color="auto"/>
                    <w:bottom w:val="none" w:sz="0" w:space="0" w:color="auto"/>
                    <w:right w:val="none" w:sz="0" w:space="0" w:color="auto"/>
                  </w:divBdr>
                </w:div>
                <w:div w:id="1192458119">
                  <w:marLeft w:val="0"/>
                  <w:marRight w:val="0"/>
                  <w:marTop w:val="0"/>
                  <w:marBottom w:val="0"/>
                  <w:divBdr>
                    <w:top w:val="none" w:sz="0" w:space="0" w:color="auto"/>
                    <w:left w:val="none" w:sz="0" w:space="0" w:color="auto"/>
                    <w:bottom w:val="none" w:sz="0" w:space="0" w:color="auto"/>
                    <w:right w:val="none" w:sz="0" w:space="0" w:color="auto"/>
                  </w:divBdr>
                </w:div>
                <w:div w:id="1477650479">
                  <w:marLeft w:val="0"/>
                  <w:marRight w:val="0"/>
                  <w:marTop w:val="0"/>
                  <w:marBottom w:val="0"/>
                  <w:divBdr>
                    <w:top w:val="none" w:sz="0" w:space="0" w:color="auto"/>
                    <w:left w:val="none" w:sz="0" w:space="0" w:color="auto"/>
                    <w:bottom w:val="none" w:sz="0" w:space="0" w:color="auto"/>
                    <w:right w:val="none" w:sz="0" w:space="0" w:color="auto"/>
                  </w:divBdr>
                </w:div>
                <w:div w:id="1492284687">
                  <w:marLeft w:val="0"/>
                  <w:marRight w:val="0"/>
                  <w:marTop w:val="0"/>
                  <w:marBottom w:val="0"/>
                  <w:divBdr>
                    <w:top w:val="none" w:sz="0" w:space="0" w:color="auto"/>
                    <w:left w:val="none" w:sz="0" w:space="0" w:color="auto"/>
                    <w:bottom w:val="none" w:sz="0" w:space="0" w:color="auto"/>
                    <w:right w:val="none" w:sz="0" w:space="0" w:color="auto"/>
                  </w:divBdr>
                </w:div>
                <w:div w:id="1510026748">
                  <w:marLeft w:val="0"/>
                  <w:marRight w:val="0"/>
                  <w:marTop w:val="0"/>
                  <w:marBottom w:val="0"/>
                  <w:divBdr>
                    <w:top w:val="none" w:sz="0" w:space="0" w:color="auto"/>
                    <w:left w:val="none" w:sz="0" w:space="0" w:color="auto"/>
                    <w:bottom w:val="none" w:sz="0" w:space="0" w:color="auto"/>
                    <w:right w:val="none" w:sz="0" w:space="0" w:color="auto"/>
                  </w:divBdr>
                </w:div>
                <w:div w:id="1514223885">
                  <w:marLeft w:val="0"/>
                  <w:marRight w:val="0"/>
                  <w:marTop w:val="0"/>
                  <w:marBottom w:val="0"/>
                  <w:divBdr>
                    <w:top w:val="none" w:sz="0" w:space="0" w:color="auto"/>
                    <w:left w:val="none" w:sz="0" w:space="0" w:color="auto"/>
                    <w:bottom w:val="none" w:sz="0" w:space="0" w:color="auto"/>
                    <w:right w:val="none" w:sz="0" w:space="0" w:color="auto"/>
                  </w:divBdr>
                </w:div>
                <w:div w:id="1533110830">
                  <w:marLeft w:val="0"/>
                  <w:marRight w:val="0"/>
                  <w:marTop w:val="0"/>
                  <w:marBottom w:val="0"/>
                  <w:divBdr>
                    <w:top w:val="none" w:sz="0" w:space="0" w:color="auto"/>
                    <w:left w:val="none" w:sz="0" w:space="0" w:color="auto"/>
                    <w:bottom w:val="none" w:sz="0" w:space="0" w:color="auto"/>
                    <w:right w:val="none" w:sz="0" w:space="0" w:color="auto"/>
                  </w:divBdr>
                </w:div>
                <w:div w:id="1552493913">
                  <w:marLeft w:val="0"/>
                  <w:marRight w:val="0"/>
                  <w:marTop w:val="0"/>
                  <w:marBottom w:val="0"/>
                  <w:divBdr>
                    <w:top w:val="none" w:sz="0" w:space="0" w:color="auto"/>
                    <w:left w:val="none" w:sz="0" w:space="0" w:color="auto"/>
                    <w:bottom w:val="none" w:sz="0" w:space="0" w:color="auto"/>
                    <w:right w:val="none" w:sz="0" w:space="0" w:color="auto"/>
                  </w:divBdr>
                </w:div>
                <w:div w:id="1570725727">
                  <w:marLeft w:val="0"/>
                  <w:marRight w:val="0"/>
                  <w:marTop w:val="0"/>
                  <w:marBottom w:val="0"/>
                  <w:divBdr>
                    <w:top w:val="none" w:sz="0" w:space="0" w:color="auto"/>
                    <w:left w:val="none" w:sz="0" w:space="0" w:color="auto"/>
                    <w:bottom w:val="none" w:sz="0" w:space="0" w:color="auto"/>
                    <w:right w:val="none" w:sz="0" w:space="0" w:color="auto"/>
                  </w:divBdr>
                </w:div>
                <w:div w:id="1585601957">
                  <w:marLeft w:val="0"/>
                  <w:marRight w:val="0"/>
                  <w:marTop w:val="0"/>
                  <w:marBottom w:val="0"/>
                  <w:divBdr>
                    <w:top w:val="none" w:sz="0" w:space="0" w:color="auto"/>
                    <w:left w:val="none" w:sz="0" w:space="0" w:color="auto"/>
                    <w:bottom w:val="none" w:sz="0" w:space="0" w:color="auto"/>
                    <w:right w:val="none" w:sz="0" w:space="0" w:color="auto"/>
                  </w:divBdr>
                </w:div>
                <w:div w:id="1602911611">
                  <w:marLeft w:val="0"/>
                  <w:marRight w:val="0"/>
                  <w:marTop w:val="0"/>
                  <w:marBottom w:val="0"/>
                  <w:divBdr>
                    <w:top w:val="none" w:sz="0" w:space="0" w:color="auto"/>
                    <w:left w:val="none" w:sz="0" w:space="0" w:color="auto"/>
                    <w:bottom w:val="none" w:sz="0" w:space="0" w:color="auto"/>
                    <w:right w:val="none" w:sz="0" w:space="0" w:color="auto"/>
                  </w:divBdr>
                </w:div>
                <w:div w:id="1626229389">
                  <w:marLeft w:val="0"/>
                  <w:marRight w:val="0"/>
                  <w:marTop w:val="0"/>
                  <w:marBottom w:val="0"/>
                  <w:divBdr>
                    <w:top w:val="none" w:sz="0" w:space="0" w:color="auto"/>
                    <w:left w:val="none" w:sz="0" w:space="0" w:color="auto"/>
                    <w:bottom w:val="none" w:sz="0" w:space="0" w:color="auto"/>
                    <w:right w:val="none" w:sz="0" w:space="0" w:color="auto"/>
                  </w:divBdr>
                </w:div>
                <w:div w:id="1649557051">
                  <w:marLeft w:val="0"/>
                  <w:marRight w:val="0"/>
                  <w:marTop w:val="0"/>
                  <w:marBottom w:val="0"/>
                  <w:divBdr>
                    <w:top w:val="none" w:sz="0" w:space="0" w:color="auto"/>
                    <w:left w:val="none" w:sz="0" w:space="0" w:color="auto"/>
                    <w:bottom w:val="none" w:sz="0" w:space="0" w:color="auto"/>
                    <w:right w:val="none" w:sz="0" w:space="0" w:color="auto"/>
                  </w:divBdr>
                </w:div>
                <w:div w:id="1715234702">
                  <w:marLeft w:val="0"/>
                  <w:marRight w:val="0"/>
                  <w:marTop w:val="0"/>
                  <w:marBottom w:val="0"/>
                  <w:divBdr>
                    <w:top w:val="none" w:sz="0" w:space="0" w:color="auto"/>
                    <w:left w:val="none" w:sz="0" w:space="0" w:color="auto"/>
                    <w:bottom w:val="none" w:sz="0" w:space="0" w:color="auto"/>
                    <w:right w:val="none" w:sz="0" w:space="0" w:color="auto"/>
                  </w:divBdr>
                </w:div>
                <w:div w:id="1735394597">
                  <w:marLeft w:val="0"/>
                  <w:marRight w:val="0"/>
                  <w:marTop w:val="0"/>
                  <w:marBottom w:val="0"/>
                  <w:divBdr>
                    <w:top w:val="none" w:sz="0" w:space="0" w:color="auto"/>
                    <w:left w:val="none" w:sz="0" w:space="0" w:color="auto"/>
                    <w:bottom w:val="none" w:sz="0" w:space="0" w:color="auto"/>
                    <w:right w:val="none" w:sz="0" w:space="0" w:color="auto"/>
                  </w:divBdr>
                </w:div>
                <w:div w:id="1810123620">
                  <w:marLeft w:val="0"/>
                  <w:marRight w:val="0"/>
                  <w:marTop w:val="0"/>
                  <w:marBottom w:val="0"/>
                  <w:divBdr>
                    <w:top w:val="none" w:sz="0" w:space="0" w:color="auto"/>
                    <w:left w:val="none" w:sz="0" w:space="0" w:color="auto"/>
                    <w:bottom w:val="none" w:sz="0" w:space="0" w:color="auto"/>
                    <w:right w:val="none" w:sz="0" w:space="0" w:color="auto"/>
                  </w:divBdr>
                </w:div>
                <w:div w:id="1921482553">
                  <w:marLeft w:val="0"/>
                  <w:marRight w:val="0"/>
                  <w:marTop w:val="0"/>
                  <w:marBottom w:val="0"/>
                  <w:divBdr>
                    <w:top w:val="none" w:sz="0" w:space="0" w:color="auto"/>
                    <w:left w:val="none" w:sz="0" w:space="0" w:color="auto"/>
                    <w:bottom w:val="none" w:sz="0" w:space="0" w:color="auto"/>
                    <w:right w:val="none" w:sz="0" w:space="0" w:color="auto"/>
                  </w:divBdr>
                </w:div>
                <w:div w:id="2040933902">
                  <w:marLeft w:val="0"/>
                  <w:marRight w:val="0"/>
                  <w:marTop w:val="0"/>
                  <w:marBottom w:val="0"/>
                  <w:divBdr>
                    <w:top w:val="none" w:sz="0" w:space="0" w:color="auto"/>
                    <w:left w:val="none" w:sz="0" w:space="0" w:color="auto"/>
                    <w:bottom w:val="none" w:sz="0" w:space="0" w:color="auto"/>
                    <w:right w:val="none" w:sz="0" w:space="0" w:color="auto"/>
                  </w:divBdr>
                </w:div>
                <w:div w:id="21180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5496">
      <w:bodyDiv w:val="1"/>
      <w:marLeft w:val="0"/>
      <w:marRight w:val="0"/>
      <w:marTop w:val="0"/>
      <w:marBottom w:val="0"/>
      <w:divBdr>
        <w:top w:val="none" w:sz="0" w:space="0" w:color="auto"/>
        <w:left w:val="none" w:sz="0" w:space="0" w:color="auto"/>
        <w:bottom w:val="none" w:sz="0" w:space="0" w:color="auto"/>
        <w:right w:val="none" w:sz="0" w:space="0" w:color="auto"/>
      </w:divBdr>
    </w:div>
    <w:div w:id="719982590">
      <w:bodyDiv w:val="1"/>
      <w:marLeft w:val="0"/>
      <w:marRight w:val="0"/>
      <w:marTop w:val="0"/>
      <w:marBottom w:val="0"/>
      <w:divBdr>
        <w:top w:val="none" w:sz="0" w:space="0" w:color="auto"/>
        <w:left w:val="none" w:sz="0" w:space="0" w:color="auto"/>
        <w:bottom w:val="none" w:sz="0" w:space="0" w:color="auto"/>
        <w:right w:val="none" w:sz="0" w:space="0" w:color="auto"/>
      </w:divBdr>
    </w:div>
    <w:div w:id="794445095">
      <w:bodyDiv w:val="1"/>
      <w:marLeft w:val="0"/>
      <w:marRight w:val="0"/>
      <w:marTop w:val="0"/>
      <w:marBottom w:val="0"/>
      <w:divBdr>
        <w:top w:val="none" w:sz="0" w:space="0" w:color="auto"/>
        <w:left w:val="none" w:sz="0" w:space="0" w:color="auto"/>
        <w:bottom w:val="none" w:sz="0" w:space="0" w:color="auto"/>
        <w:right w:val="none" w:sz="0" w:space="0" w:color="auto"/>
      </w:divBdr>
    </w:div>
    <w:div w:id="799104930">
      <w:bodyDiv w:val="1"/>
      <w:marLeft w:val="0"/>
      <w:marRight w:val="0"/>
      <w:marTop w:val="0"/>
      <w:marBottom w:val="0"/>
      <w:divBdr>
        <w:top w:val="none" w:sz="0" w:space="0" w:color="auto"/>
        <w:left w:val="none" w:sz="0" w:space="0" w:color="auto"/>
        <w:bottom w:val="none" w:sz="0" w:space="0" w:color="auto"/>
        <w:right w:val="none" w:sz="0" w:space="0" w:color="auto"/>
      </w:divBdr>
    </w:div>
    <w:div w:id="815804592">
      <w:bodyDiv w:val="1"/>
      <w:marLeft w:val="0"/>
      <w:marRight w:val="0"/>
      <w:marTop w:val="0"/>
      <w:marBottom w:val="0"/>
      <w:divBdr>
        <w:top w:val="none" w:sz="0" w:space="0" w:color="auto"/>
        <w:left w:val="none" w:sz="0" w:space="0" w:color="auto"/>
        <w:bottom w:val="none" w:sz="0" w:space="0" w:color="auto"/>
        <w:right w:val="none" w:sz="0" w:space="0" w:color="auto"/>
      </w:divBdr>
      <w:divsChild>
        <w:div w:id="1893760927">
          <w:marLeft w:val="0"/>
          <w:marRight w:val="0"/>
          <w:marTop w:val="30"/>
          <w:marBottom w:val="0"/>
          <w:divBdr>
            <w:top w:val="none" w:sz="0" w:space="0" w:color="auto"/>
            <w:left w:val="none" w:sz="0" w:space="0" w:color="auto"/>
            <w:bottom w:val="none" w:sz="0" w:space="0" w:color="auto"/>
            <w:right w:val="none" w:sz="0" w:space="0" w:color="auto"/>
          </w:divBdr>
        </w:div>
      </w:divsChild>
    </w:div>
    <w:div w:id="835727107">
      <w:bodyDiv w:val="1"/>
      <w:marLeft w:val="0"/>
      <w:marRight w:val="0"/>
      <w:marTop w:val="0"/>
      <w:marBottom w:val="0"/>
      <w:divBdr>
        <w:top w:val="none" w:sz="0" w:space="0" w:color="auto"/>
        <w:left w:val="none" w:sz="0" w:space="0" w:color="auto"/>
        <w:bottom w:val="none" w:sz="0" w:space="0" w:color="auto"/>
        <w:right w:val="none" w:sz="0" w:space="0" w:color="auto"/>
      </w:divBdr>
      <w:divsChild>
        <w:div w:id="804733307">
          <w:marLeft w:val="0"/>
          <w:marRight w:val="0"/>
          <w:marTop w:val="30"/>
          <w:marBottom w:val="0"/>
          <w:divBdr>
            <w:top w:val="none" w:sz="0" w:space="0" w:color="auto"/>
            <w:left w:val="none" w:sz="0" w:space="0" w:color="auto"/>
            <w:bottom w:val="none" w:sz="0" w:space="0" w:color="auto"/>
            <w:right w:val="none" w:sz="0" w:space="0" w:color="auto"/>
          </w:divBdr>
        </w:div>
      </w:divsChild>
    </w:div>
    <w:div w:id="854148701">
      <w:bodyDiv w:val="1"/>
      <w:marLeft w:val="0"/>
      <w:marRight w:val="0"/>
      <w:marTop w:val="0"/>
      <w:marBottom w:val="0"/>
      <w:divBdr>
        <w:top w:val="none" w:sz="0" w:space="0" w:color="auto"/>
        <w:left w:val="none" w:sz="0" w:space="0" w:color="auto"/>
        <w:bottom w:val="none" w:sz="0" w:space="0" w:color="auto"/>
        <w:right w:val="none" w:sz="0" w:space="0" w:color="auto"/>
      </w:divBdr>
    </w:div>
    <w:div w:id="901142004">
      <w:bodyDiv w:val="1"/>
      <w:marLeft w:val="0"/>
      <w:marRight w:val="0"/>
      <w:marTop w:val="0"/>
      <w:marBottom w:val="0"/>
      <w:divBdr>
        <w:top w:val="none" w:sz="0" w:space="0" w:color="auto"/>
        <w:left w:val="none" w:sz="0" w:space="0" w:color="auto"/>
        <w:bottom w:val="none" w:sz="0" w:space="0" w:color="auto"/>
        <w:right w:val="none" w:sz="0" w:space="0" w:color="auto"/>
      </w:divBdr>
    </w:div>
    <w:div w:id="933167254">
      <w:bodyDiv w:val="1"/>
      <w:marLeft w:val="0"/>
      <w:marRight w:val="0"/>
      <w:marTop w:val="0"/>
      <w:marBottom w:val="0"/>
      <w:divBdr>
        <w:top w:val="none" w:sz="0" w:space="0" w:color="auto"/>
        <w:left w:val="none" w:sz="0" w:space="0" w:color="auto"/>
        <w:bottom w:val="none" w:sz="0" w:space="0" w:color="auto"/>
        <w:right w:val="none" w:sz="0" w:space="0" w:color="auto"/>
      </w:divBdr>
    </w:div>
    <w:div w:id="969408528">
      <w:bodyDiv w:val="1"/>
      <w:marLeft w:val="0"/>
      <w:marRight w:val="0"/>
      <w:marTop w:val="0"/>
      <w:marBottom w:val="0"/>
      <w:divBdr>
        <w:top w:val="none" w:sz="0" w:space="0" w:color="auto"/>
        <w:left w:val="none" w:sz="0" w:space="0" w:color="auto"/>
        <w:bottom w:val="none" w:sz="0" w:space="0" w:color="auto"/>
        <w:right w:val="none" w:sz="0" w:space="0" w:color="auto"/>
      </w:divBdr>
      <w:divsChild>
        <w:div w:id="1374620034">
          <w:marLeft w:val="0"/>
          <w:marRight w:val="0"/>
          <w:marTop w:val="30"/>
          <w:marBottom w:val="0"/>
          <w:divBdr>
            <w:top w:val="none" w:sz="0" w:space="0" w:color="auto"/>
            <w:left w:val="none" w:sz="0" w:space="0" w:color="auto"/>
            <w:bottom w:val="none" w:sz="0" w:space="0" w:color="auto"/>
            <w:right w:val="none" w:sz="0" w:space="0" w:color="auto"/>
          </w:divBdr>
        </w:div>
      </w:divsChild>
    </w:div>
    <w:div w:id="973756346">
      <w:bodyDiv w:val="1"/>
      <w:marLeft w:val="0"/>
      <w:marRight w:val="0"/>
      <w:marTop w:val="0"/>
      <w:marBottom w:val="0"/>
      <w:divBdr>
        <w:top w:val="none" w:sz="0" w:space="0" w:color="auto"/>
        <w:left w:val="none" w:sz="0" w:space="0" w:color="auto"/>
        <w:bottom w:val="none" w:sz="0" w:space="0" w:color="auto"/>
        <w:right w:val="none" w:sz="0" w:space="0" w:color="auto"/>
      </w:divBdr>
    </w:div>
    <w:div w:id="1023553117">
      <w:bodyDiv w:val="1"/>
      <w:marLeft w:val="0"/>
      <w:marRight w:val="0"/>
      <w:marTop w:val="0"/>
      <w:marBottom w:val="0"/>
      <w:divBdr>
        <w:top w:val="none" w:sz="0" w:space="0" w:color="auto"/>
        <w:left w:val="none" w:sz="0" w:space="0" w:color="auto"/>
        <w:bottom w:val="none" w:sz="0" w:space="0" w:color="auto"/>
        <w:right w:val="none" w:sz="0" w:space="0" w:color="auto"/>
      </w:divBdr>
      <w:divsChild>
        <w:div w:id="1245455494">
          <w:marLeft w:val="0"/>
          <w:marRight w:val="0"/>
          <w:marTop w:val="30"/>
          <w:marBottom w:val="0"/>
          <w:divBdr>
            <w:top w:val="none" w:sz="0" w:space="0" w:color="auto"/>
            <w:left w:val="none" w:sz="0" w:space="0" w:color="auto"/>
            <w:bottom w:val="none" w:sz="0" w:space="0" w:color="auto"/>
            <w:right w:val="none" w:sz="0" w:space="0" w:color="auto"/>
          </w:divBdr>
        </w:div>
      </w:divsChild>
    </w:div>
    <w:div w:id="1030953610">
      <w:bodyDiv w:val="1"/>
      <w:marLeft w:val="0"/>
      <w:marRight w:val="0"/>
      <w:marTop w:val="0"/>
      <w:marBottom w:val="0"/>
      <w:divBdr>
        <w:top w:val="none" w:sz="0" w:space="0" w:color="auto"/>
        <w:left w:val="none" w:sz="0" w:space="0" w:color="auto"/>
        <w:bottom w:val="none" w:sz="0" w:space="0" w:color="auto"/>
        <w:right w:val="none" w:sz="0" w:space="0" w:color="auto"/>
      </w:divBdr>
      <w:divsChild>
        <w:div w:id="1506164535">
          <w:marLeft w:val="0"/>
          <w:marRight w:val="0"/>
          <w:marTop w:val="30"/>
          <w:marBottom w:val="0"/>
          <w:divBdr>
            <w:top w:val="none" w:sz="0" w:space="0" w:color="auto"/>
            <w:left w:val="none" w:sz="0" w:space="0" w:color="auto"/>
            <w:bottom w:val="none" w:sz="0" w:space="0" w:color="auto"/>
            <w:right w:val="none" w:sz="0" w:space="0" w:color="auto"/>
          </w:divBdr>
        </w:div>
      </w:divsChild>
    </w:div>
    <w:div w:id="1050572275">
      <w:bodyDiv w:val="1"/>
      <w:marLeft w:val="0"/>
      <w:marRight w:val="0"/>
      <w:marTop w:val="0"/>
      <w:marBottom w:val="0"/>
      <w:divBdr>
        <w:top w:val="none" w:sz="0" w:space="0" w:color="auto"/>
        <w:left w:val="none" w:sz="0" w:space="0" w:color="auto"/>
        <w:bottom w:val="none" w:sz="0" w:space="0" w:color="auto"/>
        <w:right w:val="none" w:sz="0" w:space="0" w:color="auto"/>
      </w:divBdr>
    </w:div>
    <w:div w:id="1101491156">
      <w:bodyDiv w:val="1"/>
      <w:marLeft w:val="0"/>
      <w:marRight w:val="0"/>
      <w:marTop w:val="0"/>
      <w:marBottom w:val="0"/>
      <w:divBdr>
        <w:top w:val="none" w:sz="0" w:space="0" w:color="auto"/>
        <w:left w:val="none" w:sz="0" w:space="0" w:color="auto"/>
        <w:bottom w:val="none" w:sz="0" w:space="0" w:color="auto"/>
        <w:right w:val="none" w:sz="0" w:space="0" w:color="auto"/>
      </w:divBdr>
    </w:div>
    <w:div w:id="1131090676">
      <w:bodyDiv w:val="1"/>
      <w:marLeft w:val="0"/>
      <w:marRight w:val="0"/>
      <w:marTop w:val="0"/>
      <w:marBottom w:val="0"/>
      <w:divBdr>
        <w:top w:val="none" w:sz="0" w:space="0" w:color="auto"/>
        <w:left w:val="none" w:sz="0" w:space="0" w:color="auto"/>
        <w:bottom w:val="none" w:sz="0" w:space="0" w:color="auto"/>
        <w:right w:val="none" w:sz="0" w:space="0" w:color="auto"/>
      </w:divBdr>
    </w:div>
    <w:div w:id="1141192834">
      <w:bodyDiv w:val="1"/>
      <w:marLeft w:val="0"/>
      <w:marRight w:val="0"/>
      <w:marTop w:val="0"/>
      <w:marBottom w:val="0"/>
      <w:divBdr>
        <w:top w:val="none" w:sz="0" w:space="0" w:color="auto"/>
        <w:left w:val="none" w:sz="0" w:space="0" w:color="auto"/>
        <w:bottom w:val="none" w:sz="0" w:space="0" w:color="auto"/>
        <w:right w:val="none" w:sz="0" w:space="0" w:color="auto"/>
      </w:divBdr>
      <w:divsChild>
        <w:div w:id="364253527">
          <w:marLeft w:val="0"/>
          <w:marRight w:val="0"/>
          <w:marTop w:val="30"/>
          <w:marBottom w:val="0"/>
          <w:divBdr>
            <w:top w:val="none" w:sz="0" w:space="0" w:color="auto"/>
            <w:left w:val="none" w:sz="0" w:space="0" w:color="auto"/>
            <w:bottom w:val="none" w:sz="0" w:space="0" w:color="auto"/>
            <w:right w:val="none" w:sz="0" w:space="0" w:color="auto"/>
          </w:divBdr>
        </w:div>
      </w:divsChild>
    </w:div>
    <w:div w:id="1188904931">
      <w:bodyDiv w:val="1"/>
      <w:marLeft w:val="0"/>
      <w:marRight w:val="0"/>
      <w:marTop w:val="0"/>
      <w:marBottom w:val="0"/>
      <w:divBdr>
        <w:top w:val="none" w:sz="0" w:space="0" w:color="auto"/>
        <w:left w:val="none" w:sz="0" w:space="0" w:color="auto"/>
        <w:bottom w:val="none" w:sz="0" w:space="0" w:color="auto"/>
        <w:right w:val="none" w:sz="0" w:space="0" w:color="auto"/>
      </w:divBdr>
    </w:div>
    <w:div w:id="1201239873">
      <w:bodyDiv w:val="1"/>
      <w:marLeft w:val="0"/>
      <w:marRight w:val="0"/>
      <w:marTop w:val="0"/>
      <w:marBottom w:val="0"/>
      <w:divBdr>
        <w:top w:val="none" w:sz="0" w:space="0" w:color="auto"/>
        <w:left w:val="none" w:sz="0" w:space="0" w:color="auto"/>
        <w:bottom w:val="none" w:sz="0" w:space="0" w:color="auto"/>
        <w:right w:val="none" w:sz="0" w:space="0" w:color="auto"/>
      </w:divBdr>
    </w:div>
    <w:div w:id="1248075531">
      <w:bodyDiv w:val="1"/>
      <w:marLeft w:val="0"/>
      <w:marRight w:val="0"/>
      <w:marTop w:val="0"/>
      <w:marBottom w:val="0"/>
      <w:divBdr>
        <w:top w:val="none" w:sz="0" w:space="0" w:color="auto"/>
        <w:left w:val="none" w:sz="0" w:space="0" w:color="auto"/>
        <w:bottom w:val="none" w:sz="0" w:space="0" w:color="auto"/>
        <w:right w:val="none" w:sz="0" w:space="0" w:color="auto"/>
      </w:divBdr>
    </w:div>
    <w:div w:id="1255750543">
      <w:bodyDiv w:val="1"/>
      <w:marLeft w:val="0"/>
      <w:marRight w:val="0"/>
      <w:marTop w:val="0"/>
      <w:marBottom w:val="0"/>
      <w:divBdr>
        <w:top w:val="none" w:sz="0" w:space="0" w:color="auto"/>
        <w:left w:val="none" w:sz="0" w:space="0" w:color="auto"/>
        <w:bottom w:val="none" w:sz="0" w:space="0" w:color="auto"/>
        <w:right w:val="none" w:sz="0" w:space="0" w:color="auto"/>
      </w:divBdr>
      <w:divsChild>
        <w:div w:id="1965309174">
          <w:marLeft w:val="547"/>
          <w:marRight w:val="0"/>
          <w:marTop w:val="134"/>
          <w:marBottom w:val="0"/>
          <w:divBdr>
            <w:top w:val="none" w:sz="0" w:space="0" w:color="auto"/>
            <w:left w:val="none" w:sz="0" w:space="0" w:color="auto"/>
            <w:bottom w:val="none" w:sz="0" w:space="0" w:color="auto"/>
            <w:right w:val="none" w:sz="0" w:space="0" w:color="auto"/>
          </w:divBdr>
        </w:div>
      </w:divsChild>
    </w:div>
    <w:div w:id="1334263158">
      <w:bodyDiv w:val="1"/>
      <w:marLeft w:val="0"/>
      <w:marRight w:val="0"/>
      <w:marTop w:val="0"/>
      <w:marBottom w:val="0"/>
      <w:divBdr>
        <w:top w:val="none" w:sz="0" w:space="0" w:color="auto"/>
        <w:left w:val="none" w:sz="0" w:space="0" w:color="auto"/>
        <w:bottom w:val="none" w:sz="0" w:space="0" w:color="auto"/>
        <w:right w:val="none" w:sz="0" w:space="0" w:color="auto"/>
      </w:divBdr>
    </w:div>
    <w:div w:id="1340081574">
      <w:bodyDiv w:val="1"/>
      <w:marLeft w:val="0"/>
      <w:marRight w:val="0"/>
      <w:marTop w:val="0"/>
      <w:marBottom w:val="0"/>
      <w:divBdr>
        <w:top w:val="none" w:sz="0" w:space="0" w:color="auto"/>
        <w:left w:val="none" w:sz="0" w:space="0" w:color="auto"/>
        <w:bottom w:val="none" w:sz="0" w:space="0" w:color="auto"/>
        <w:right w:val="none" w:sz="0" w:space="0" w:color="auto"/>
      </w:divBdr>
      <w:divsChild>
        <w:div w:id="179469952">
          <w:marLeft w:val="0"/>
          <w:marRight w:val="0"/>
          <w:marTop w:val="0"/>
          <w:marBottom w:val="0"/>
          <w:divBdr>
            <w:top w:val="none" w:sz="0" w:space="0" w:color="auto"/>
            <w:left w:val="none" w:sz="0" w:space="0" w:color="auto"/>
            <w:bottom w:val="none" w:sz="0" w:space="0" w:color="auto"/>
            <w:right w:val="none" w:sz="0" w:space="0" w:color="auto"/>
          </w:divBdr>
        </w:div>
        <w:div w:id="294482670">
          <w:marLeft w:val="0"/>
          <w:marRight w:val="0"/>
          <w:marTop w:val="0"/>
          <w:marBottom w:val="0"/>
          <w:divBdr>
            <w:top w:val="none" w:sz="0" w:space="0" w:color="auto"/>
            <w:left w:val="none" w:sz="0" w:space="0" w:color="auto"/>
            <w:bottom w:val="none" w:sz="0" w:space="0" w:color="auto"/>
            <w:right w:val="none" w:sz="0" w:space="0" w:color="auto"/>
          </w:divBdr>
        </w:div>
        <w:div w:id="670183451">
          <w:marLeft w:val="0"/>
          <w:marRight w:val="0"/>
          <w:marTop w:val="0"/>
          <w:marBottom w:val="0"/>
          <w:divBdr>
            <w:top w:val="none" w:sz="0" w:space="0" w:color="auto"/>
            <w:left w:val="none" w:sz="0" w:space="0" w:color="auto"/>
            <w:bottom w:val="none" w:sz="0" w:space="0" w:color="auto"/>
            <w:right w:val="none" w:sz="0" w:space="0" w:color="auto"/>
          </w:divBdr>
        </w:div>
      </w:divsChild>
    </w:div>
    <w:div w:id="1369642686">
      <w:bodyDiv w:val="1"/>
      <w:marLeft w:val="0"/>
      <w:marRight w:val="0"/>
      <w:marTop w:val="0"/>
      <w:marBottom w:val="0"/>
      <w:divBdr>
        <w:top w:val="none" w:sz="0" w:space="0" w:color="auto"/>
        <w:left w:val="none" w:sz="0" w:space="0" w:color="auto"/>
        <w:bottom w:val="none" w:sz="0" w:space="0" w:color="auto"/>
        <w:right w:val="none" w:sz="0" w:space="0" w:color="auto"/>
      </w:divBdr>
    </w:div>
    <w:div w:id="1380669159">
      <w:bodyDiv w:val="1"/>
      <w:marLeft w:val="0"/>
      <w:marRight w:val="0"/>
      <w:marTop w:val="0"/>
      <w:marBottom w:val="0"/>
      <w:divBdr>
        <w:top w:val="none" w:sz="0" w:space="0" w:color="auto"/>
        <w:left w:val="none" w:sz="0" w:space="0" w:color="auto"/>
        <w:bottom w:val="none" w:sz="0" w:space="0" w:color="auto"/>
        <w:right w:val="none" w:sz="0" w:space="0" w:color="auto"/>
      </w:divBdr>
    </w:div>
    <w:div w:id="1505586757">
      <w:bodyDiv w:val="1"/>
      <w:marLeft w:val="0"/>
      <w:marRight w:val="0"/>
      <w:marTop w:val="0"/>
      <w:marBottom w:val="0"/>
      <w:divBdr>
        <w:top w:val="none" w:sz="0" w:space="0" w:color="auto"/>
        <w:left w:val="none" w:sz="0" w:space="0" w:color="auto"/>
        <w:bottom w:val="none" w:sz="0" w:space="0" w:color="auto"/>
        <w:right w:val="none" w:sz="0" w:space="0" w:color="auto"/>
      </w:divBdr>
    </w:div>
    <w:div w:id="1572816010">
      <w:bodyDiv w:val="1"/>
      <w:marLeft w:val="0"/>
      <w:marRight w:val="0"/>
      <w:marTop w:val="0"/>
      <w:marBottom w:val="0"/>
      <w:divBdr>
        <w:top w:val="none" w:sz="0" w:space="0" w:color="auto"/>
        <w:left w:val="none" w:sz="0" w:space="0" w:color="auto"/>
        <w:bottom w:val="none" w:sz="0" w:space="0" w:color="auto"/>
        <w:right w:val="none" w:sz="0" w:space="0" w:color="auto"/>
      </w:divBdr>
      <w:divsChild>
        <w:div w:id="2140681152">
          <w:marLeft w:val="0"/>
          <w:marRight w:val="0"/>
          <w:marTop w:val="0"/>
          <w:marBottom w:val="0"/>
          <w:divBdr>
            <w:top w:val="none" w:sz="0" w:space="0" w:color="auto"/>
            <w:left w:val="none" w:sz="0" w:space="0" w:color="auto"/>
            <w:bottom w:val="none" w:sz="0" w:space="0" w:color="auto"/>
            <w:right w:val="none" w:sz="0" w:space="0" w:color="auto"/>
          </w:divBdr>
          <w:divsChild>
            <w:div w:id="904604008">
              <w:marLeft w:val="0"/>
              <w:marRight w:val="0"/>
              <w:marTop w:val="0"/>
              <w:marBottom w:val="0"/>
              <w:divBdr>
                <w:top w:val="none" w:sz="0" w:space="0" w:color="auto"/>
                <w:left w:val="none" w:sz="0" w:space="0" w:color="auto"/>
                <w:bottom w:val="none" w:sz="0" w:space="0" w:color="auto"/>
                <w:right w:val="none" w:sz="0" w:space="0" w:color="auto"/>
              </w:divBdr>
              <w:divsChild>
                <w:div w:id="1585797751">
                  <w:marLeft w:val="0"/>
                  <w:marRight w:val="0"/>
                  <w:marTop w:val="0"/>
                  <w:marBottom w:val="0"/>
                  <w:divBdr>
                    <w:top w:val="none" w:sz="0" w:space="0" w:color="auto"/>
                    <w:left w:val="none" w:sz="0" w:space="0" w:color="auto"/>
                    <w:bottom w:val="none" w:sz="0" w:space="0" w:color="auto"/>
                    <w:right w:val="none" w:sz="0" w:space="0" w:color="auto"/>
                  </w:divBdr>
                  <w:divsChild>
                    <w:div w:id="727193707">
                      <w:marLeft w:val="0"/>
                      <w:marRight w:val="0"/>
                      <w:marTop w:val="0"/>
                      <w:marBottom w:val="0"/>
                      <w:divBdr>
                        <w:top w:val="none" w:sz="0" w:space="0" w:color="auto"/>
                        <w:left w:val="none" w:sz="0" w:space="0" w:color="auto"/>
                        <w:bottom w:val="none" w:sz="0" w:space="0" w:color="auto"/>
                        <w:right w:val="none" w:sz="0" w:space="0" w:color="auto"/>
                      </w:divBdr>
                      <w:divsChild>
                        <w:div w:id="1281375224">
                          <w:marLeft w:val="0"/>
                          <w:marRight w:val="0"/>
                          <w:marTop w:val="15"/>
                          <w:marBottom w:val="0"/>
                          <w:divBdr>
                            <w:top w:val="none" w:sz="0" w:space="0" w:color="auto"/>
                            <w:left w:val="none" w:sz="0" w:space="0" w:color="auto"/>
                            <w:bottom w:val="none" w:sz="0" w:space="0" w:color="auto"/>
                            <w:right w:val="none" w:sz="0" w:space="0" w:color="auto"/>
                          </w:divBdr>
                          <w:divsChild>
                            <w:div w:id="1535926628">
                              <w:marLeft w:val="0"/>
                              <w:marRight w:val="0"/>
                              <w:marTop w:val="0"/>
                              <w:marBottom w:val="0"/>
                              <w:divBdr>
                                <w:top w:val="none" w:sz="0" w:space="0" w:color="auto"/>
                                <w:left w:val="none" w:sz="0" w:space="0" w:color="auto"/>
                                <w:bottom w:val="none" w:sz="0" w:space="0" w:color="auto"/>
                                <w:right w:val="none" w:sz="0" w:space="0" w:color="auto"/>
                              </w:divBdr>
                              <w:divsChild>
                                <w:div w:id="95374626">
                                  <w:marLeft w:val="0"/>
                                  <w:marRight w:val="0"/>
                                  <w:marTop w:val="0"/>
                                  <w:marBottom w:val="0"/>
                                  <w:divBdr>
                                    <w:top w:val="none" w:sz="0" w:space="0" w:color="auto"/>
                                    <w:left w:val="none" w:sz="0" w:space="0" w:color="auto"/>
                                    <w:bottom w:val="none" w:sz="0" w:space="0" w:color="auto"/>
                                    <w:right w:val="none" w:sz="0" w:space="0" w:color="auto"/>
                                  </w:divBdr>
                                </w:div>
                                <w:div w:id="536969023">
                                  <w:marLeft w:val="0"/>
                                  <w:marRight w:val="0"/>
                                  <w:marTop w:val="0"/>
                                  <w:marBottom w:val="0"/>
                                  <w:divBdr>
                                    <w:top w:val="none" w:sz="0" w:space="0" w:color="auto"/>
                                    <w:left w:val="none" w:sz="0" w:space="0" w:color="auto"/>
                                    <w:bottom w:val="none" w:sz="0" w:space="0" w:color="auto"/>
                                    <w:right w:val="none" w:sz="0" w:space="0" w:color="auto"/>
                                  </w:divBdr>
                                </w:div>
                                <w:div w:id="582682547">
                                  <w:marLeft w:val="0"/>
                                  <w:marRight w:val="0"/>
                                  <w:marTop w:val="0"/>
                                  <w:marBottom w:val="0"/>
                                  <w:divBdr>
                                    <w:top w:val="none" w:sz="0" w:space="0" w:color="auto"/>
                                    <w:left w:val="none" w:sz="0" w:space="0" w:color="auto"/>
                                    <w:bottom w:val="none" w:sz="0" w:space="0" w:color="auto"/>
                                    <w:right w:val="none" w:sz="0" w:space="0" w:color="auto"/>
                                  </w:divBdr>
                                </w:div>
                                <w:div w:id="613169466">
                                  <w:marLeft w:val="0"/>
                                  <w:marRight w:val="0"/>
                                  <w:marTop w:val="0"/>
                                  <w:marBottom w:val="0"/>
                                  <w:divBdr>
                                    <w:top w:val="none" w:sz="0" w:space="0" w:color="auto"/>
                                    <w:left w:val="none" w:sz="0" w:space="0" w:color="auto"/>
                                    <w:bottom w:val="none" w:sz="0" w:space="0" w:color="auto"/>
                                    <w:right w:val="none" w:sz="0" w:space="0" w:color="auto"/>
                                  </w:divBdr>
                                </w:div>
                                <w:div w:id="13967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15049">
      <w:bodyDiv w:val="1"/>
      <w:marLeft w:val="0"/>
      <w:marRight w:val="0"/>
      <w:marTop w:val="0"/>
      <w:marBottom w:val="0"/>
      <w:divBdr>
        <w:top w:val="none" w:sz="0" w:space="0" w:color="auto"/>
        <w:left w:val="none" w:sz="0" w:space="0" w:color="auto"/>
        <w:bottom w:val="none" w:sz="0" w:space="0" w:color="auto"/>
        <w:right w:val="none" w:sz="0" w:space="0" w:color="auto"/>
      </w:divBdr>
      <w:divsChild>
        <w:div w:id="51202346">
          <w:marLeft w:val="0"/>
          <w:marRight w:val="0"/>
          <w:marTop w:val="0"/>
          <w:marBottom w:val="0"/>
          <w:divBdr>
            <w:top w:val="single" w:sz="6" w:space="0" w:color="9F9F9F"/>
            <w:left w:val="single" w:sz="6" w:space="0" w:color="9F9F9F"/>
            <w:bottom w:val="single" w:sz="6" w:space="0" w:color="9F9F9F"/>
            <w:right w:val="single" w:sz="6" w:space="0" w:color="9F9F9F"/>
          </w:divBdr>
          <w:divsChild>
            <w:div w:id="540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2363">
      <w:bodyDiv w:val="1"/>
      <w:marLeft w:val="0"/>
      <w:marRight w:val="0"/>
      <w:marTop w:val="0"/>
      <w:marBottom w:val="0"/>
      <w:divBdr>
        <w:top w:val="none" w:sz="0" w:space="0" w:color="auto"/>
        <w:left w:val="none" w:sz="0" w:space="0" w:color="auto"/>
        <w:bottom w:val="none" w:sz="0" w:space="0" w:color="auto"/>
        <w:right w:val="none" w:sz="0" w:space="0" w:color="auto"/>
      </w:divBdr>
    </w:div>
    <w:div w:id="1679890998">
      <w:bodyDiv w:val="1"/>
      <w:marLeft w:val="0"/>
      <w:marRight w:val="0"/>
      <w:marTop w:val="0"/>
      <w:marBottom w:val="0"/>
      <w:divBdr>
        <w:top w:val="none" w:sz="0" w:space="0" w:color="auto"/>
        <w:left w:val="none" w:sz="0" w:space="0" w:color="auto"/>
        <w:bottom w:val="none" w:sz="0" w:space="0" w:color="auto"/>
        <w:right w:val="none" w:sz="0" w:space="0" w:color="auto"/>
      </w:divBdr>
    </w:div>
    <w:div w:id="1771700334">
      <w:bodyDiv w:val="1"/>
      <w:marLeft w:val="0"/>
      <w:marRight w:val="0"/>
      <w:marTop w:val="0"/>
      <w:marBottom w:val="0"/>
      <w:divBdr>
        <w:top w:val="none" w:sz="0" w:space="0" w:color="auto"/>
        <w:left w:val="none" w:sz="0" w:space="0" w:color="auto"/>
        <w:bottom w:val="none" w:sz="0" w:space="0" w:color="auto"/>
        <w:right w:val="none" w:sz="0" w:space="0" w:color="auto"/>
      </w:divBdr>
    </w:div>
    <w:div w:id="1808547275">
      <w:bodyDiv w:val="1"/>
      <w:marLeft w:val="0"/>
      <w:marRight w:val="0"/>
      <w:marTop w:val="0"/>
      <w:marBottom w:val="0"/>
      <w:divBdr>
        <w:top w:val="none" w:sz="0" w:space="0" w:color="auto"/>
        <w:left w:val="none" w:sz="0" w:space="0" w:color="auto"/>
        <w:bottom w:val="none" w:sz="0" w:space="0" w:color="auto"/>
        <w:right w:val="none" w:sz="0" w:space="0" w:color="auto"/>
      </w:divBdr>
      <w:divsChild>
        <w:div w:id="593591294">
          <w:marLeft w:val="0"/>
          <w:marRight w:val="0"/>
          <w:marTop w:val="30"/>
          <w:marBottom w:val="0"/>
          <w:divBdr>
            <w:top w:val="none" w:sz="0" w:space="0" w:color="auto"/>
            <w:left w:val="none" w:sz="0" w:space="0" w:color="auto"/>
            <w:bottom w:val="none" w:sz="0" w:space="0" w:color="auto"/>
            <w:right w:val="none" w:sz="0" w:space="0" w:color="auto"/>
          </w:divBdr>
        </w:div>
      </w:divsChild>
    </w:div>
    <w:div w:id="1864587891">
      <w:bodyDiv w:val="1"/>
      <w:marLeft w:val="0"/>
      <w:marRight w:val="0"/>
      <w:marTop w:val="0"/>
      <w:marBottom w:val="0"/>
      <w:divBdr>
        <w:top w:val="none" w:sz="0" w:space="0" w:color="auto"/>
        <w:left w:val="none" w:sz="0" w:space="0" w:color="auto"/>
        <w:bottom w:val="none" w:sz="0" w:space="0" w:color="auto"/>
        <w:right w:val="none" w:sz="0" w:space="0" w:color="auto"/>
      </w:divBdr>
    </w:div>
    <w:div w:id="1875658731">
      <w:bodyDiv w:val="1"/>
      <w:marLeft w:val="0"/>
      <w:marRight w:val="0"/>
      <w:marTop w:val="0"/>
      <w:marBottom w:val="0"/>
      <w:divBdr>
        <w:top w:val="none" w:sz="0" w:space="0" w:color="auto"/>
        <w:left w:val="none" w:sz="0" w:space="0" w:color="auto"/>
        <w:bottom w:val="none" w:sz="0" w:space="0" w:color="auto"/>
        <w:right w:val="none" w:sz="0" w:space="0" w:color="auto"/>
      </w:divBdr>
    </w:div>
    <w:div w:id="1888372401">
      <w:bodyDiv w:val="1"/>
      <w:marLeft w:val="0"/>
      <w:marRight w:val="0"/>
      <w:marTop w:val="0"/>
      <w:marBottom w:val="0"/>
      <w:divBdr>
        <w:top w:val="none" w:sz="0" w:space="0" w:color="auto"/>
        <w:left w:val="none" w:sz="0" w:space="0" w:color="auto"/>
        <w:bottom w:val="none" w:sz="0" w:space="0" w:color="auto"/>
        <w:right w:val="none" w:sz="0" w:space="0" w:color="auto"/>
      </w:divBdr>
    </w:div>
    <w:div w:id="1890455563">
      <w:bodyDiv w:val="1"/>
      <w:marLeft w:val="0"/>
      <w:marRight w:val="0"/>
      <w:marTop w:val="0"/>
      <w:marBottom w:val="0"/>
      <w:divBdr>
        <w:top w:val="none" w:sz="0" w:space="0" w:color="auto"/>
        <w:left w:val="none" w:sz="0" w:space="0" w:color="auto"/>
        <w:bottom w:val="none" w:sz="0" w:space="0" w:color="auto"/>
        <w:right w:val="none" w:sz="0" w:space="0" w:color="auto"/>
      </w:divBdr>
    </w:div>
    <w:div w:id="1919174756">
      <w:bodyDiv w:val="1"/>
      <w:marLeft w:val="0"/>
      <w:marRight w:val="0"/>
      <w:marTop w:val="0"/>
      <w:marBottom w:val="0"/>
      <w:divBdr>
        <w:top w:val="none" w:sz="0" w:space="0" w:color="auto"/>
        <w:left w:val="none" w:sz="0" w:space="0" w:color="auto"/>
        <w:bottom w:val="none" w:sz="0" w:space="0" w:color="auto"/>
        <w:right w:val="none" w:sz="0" w:space="0" w:color="auto"/>
      </w:divBdr>
    </w:div>
    <w:div w:id="1925454712">
      <w:bodyDiv w:val="1"/>
      <w:marLeft w:val="0"/>
      <w:marRight w:val="0"/>
      <w:marTop w:val="0"/>
      <w:marBottom w:val="0"/>
      <w:divBdr>
        <w:top w:val="none" w:sz="0" w:space="0" w:color="auto"/>
        <w:left w:val="none" w:sz="0" w:space="0" w:color="auto"/>
        <w:bottom w:val="none" w:sz="0" w:space="0" w:color="auto"/>
        <w:right w:val="none" w:sz="0" w:space="0" w:color="auto"/>
      </w:divBdr>
    </w:div>
    <w:div w:id="2076276624">
      <w:bodyDiv w:val="1"/>
      <w:marLeft w:val="0"/>
      <w:marRight w:val="0"/>
      <w:marTop w:val="0"/>
      <w:marBottom w:val="0"/>
      <w:divBdr>
        <w:top w:val="none" w:sz="0" w:space="0" w:color="auto"/>
        <w:left w:val="none" w:sz="0" w:space="0" w:color="auto"/>
        <w:bottom w:val="none" w:sz="0" w:space="0" w:color="auto"/>
        <w:right w:val="none" w:sz="0" w:space="0" w:color="auto"/>
      </w:divBdr>
    </w:div>
    <w:div w:id="2092503765">
      <w:bodyDiv w:val="1"/>
      <w:marLeft w:val="0"/>
      <w:marRight w:val="0"/>
      <w:marTop w:val="0"/>
      <w:marBottom w:val="0"/>
      <w:divBdr>
        <w:top w:val="none" w:sz="0" w:space="0" w:color="auto"/>
        <w:left w:val="none" w:sz="0" w:space="0" w:color="auto"/>
        <w:bottom w:val="none" w:sz="0" w:space="0" w:color="auto"/>
        <w:right w:val="none" w:sz="0" w:space="0" w:color="auto"/>
      </w:divBdr>
      <w:divsChild>
        <w:div w:id="421026546">
          <w:marLeft w:val="0"/>
          <w:marRight w:val="0"/>
          <w:marTop w:val="0"/>
          <w:marBottom w:val="0"/>
          <w:divBdr>
            <w:top w:val="none" w:sz="0" w:space="0" w:color="auto"/>
            <w:left w:val="none" w:sz="0" w:space="0" w:color="auto"/>
            <w:bottom w:val="none" w:sz="0" w:space="0" w:color="auto"/>
            <w:right w:val="none" w:sz="0" w:space="0" w:color="auto"/>
          </w:divBdr>
        </w:div>
        <w:div w:id="578253925">
          <w:marLeft w:val="0"/>
          <w:marRight w:val="0"/>
          <w:marTop w:val="0"/>
          <w:marBottom w:val="0"/>
          <w:divBdr>
            <w:top w:val="none" w:sz="0" w:space="0" w:color="auto"/>
            <w:left w:val="none" w:sz="0" w:space="0" w:color="auto"/>
            <w:bottom w:val="none" w:sz="0" w:space="0" w:color="auto"/>
            <w:right w:val="none" w:sz="0" w:space="0" w:color="auto"/>
          </w:divBdr>
        </w:div>
        <w:div w:id="642930708">
          <w:marLeft w:val="0"/>
          <w:marRight w:val="0"/>
          <w:marTop w:val="0"/>
          <w:marBottom w:val="0"/>
          <w:divBdr>
            <w:top w:val="none" w:sz="0" w:space="0" w:color="auto"/>
            <w:left w:val="none" w:sz="0" w:space="0" w:color="auto"/>
            <w:bottom w:val="none" w:sz="0" w:space="0" w:color="auto"/>
            <w:right w:val="none" w:sz="0" w:space="0" w:color="auto"/>
          </w:divBdr>
        </w:div>
        <w:div w:id="97688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pravo.cz/top/clanky/soudni-exekutori-a-legislativni-proces-v-ceske-republice-10951.html"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ekcr.cz/1/nejcastejsi-dotazy/694-dohled-pravni-uprava?w=" TargetMode="External"/><Relationship Id="rId17" Type="http://schemas.openxmlformats.org/officeDocument/2006/relationships/hyperlink" Target="http://mapaexekuci.cz/index.php/co-s-tim/teritorialit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mr.cz/getmedia/6be63d6f-968a-4440-91bd-caf5ee3e6d27/exekuc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kcr.cz/1/aktuality-pro-media/1615-exekutorska-komora-podporuje-mistni-prislusnost-27-05-2014?w="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cak.cz/scripts/detail.php?id=20169" TargetMode="External"/><Relationship Id="rId23" Type="http://schemas.openxmlformats.org/officeDocument/2006/relationships/footer" Target="footer2.xml"/><Relationship Id="rId10" Type="http://schemas.openxmlformats.org/officeDocument/2006/relationships/hyperlink" Target="http://www.ekcr.cz/1/exekutori-radi/797-co-je-to-exekucni-titul?w="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iuridictum.pecina.cz/w/Chammurabiho_z%C3%A1kon%C3%ADk"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ak.cz/scripts/detail.php?id=20169" TargetMode="External"/><Relationship Id="rId2" Type="http://schemas.openxmlformats.org/officeDocument/2006/relationships/hyperlink" Target="https://www.cak.cz/scripts/detail.php?id=20169" TargetMode="External"/><Relationship Id="rId1" Type="http://schemas.openxmlformats.org/officeDocument/2006/relationships/hyperlink" Target="http://www.mmr.cz/getmedia/6be63d6f-968a-4440-91bd-caf5ee3e6d27/exekuce"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Tom10</b:Tag>
    <b:SourceType>Book</b:SourceType>
    <b:Guid>{A63C4C12-C481-490D-9B00-31F94149F12E}</b:Guid>
    <b:Author>
      <b:Author>
        <b:NameList>
          <b:Person>
            <b:Last>Tomáš Louda</b:Last>
            <b:First>Jiří</b:First>
            <b:Middle>Grospič a kolektiv</b:Middle>
          </b:Person>
        </b:NameList>
      </b:Author>
    </b:Author>
    <b:Title>Partnerství veřejného a soukromého sektoru Právní a ekonomické aspekty</b:Title>
    <b:Year>2010</b:Year>
    <b:City>Praha </b:City>
    <b:Publisher>Ústav státu a práva AV ČR</b:Publisher>
    <b:RefOrder>1</b:RefOrder>
  </b:Source>
</b:Sources>
</file>

<file path=customXml/itemProps1.xml><?xml version="1.0" encoding="utf-8"?>
<ds:datastoreItem xmlns:ds="http://schemas.openxmlformats.org/officeDocument/2006/customXml" ds:itemID="{3B1C551B-7A2F-457E-AD13-6974CACC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22592</Words>
  <Characters>133299</Characters>
  <Application>Microsoft Office Word</Application>
  <DocSecurity>0</DocSecurity>
  <Lines>1110</Lines>
  <Paragraphs>311</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155580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tcvrk</dc:creator>
  <cp:lastModifiedBy>Bc. Jana HÁJKOVÁ</cp:lastModifiedBy>
  <cp:revision>2</cp:revision>
  <cp:lastPrinted>2019-03-26T11:45:00Z</cp:lastPrinted>
  <dcterms:created xsi:type="dcterms:W3CDTF">2019-09-02T08:49:00Z</dcterms:created>
  <dcterms:modified xsi:type="dcterms:W3CDTF">2019-09-02T08:49:00Z</dcterms:modified>
</cp:coreProperties>
</file>