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ED6" w:rsidRDefault="005B530A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-625474</wp:posOffset>
            </wp:positionH>
            <wp:positionV relativeFrom="paragraph">
              <wp:posOffset>-633094</wp:posOffset>
            </wp:positionV>
            <wp:extent cx="2232660" cy="1059180"/>
            <wp:effectExtent l="0" t="0" r="0" b="0"/>
            <wp:wrapNone/>
            <wp:docPr id="4" name="image1.jpg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FDU_cz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0ED6" w:rsidRDefault="00660ED6">
      <w:pPr>
        <w:spacing w:after="12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660ED6" w:rsidRDefault="005B530A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Protokol o hodnocení</w:t>
      </w:r>
    </w:p>
    <w:p w:rsidR="00660ED6" w:rsidRDefault="005B530A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 xml:space="preserve">kvalifikační práce </w:t>
      </w:r>
    </w:p>
    <w:p w:rsidR="00660ED6" w:rsidRDefault="00660ED6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ED6" w:rsidRDefault="005B530A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Název bakalářské práce: KRÁSA KOLEM I V NÁS</w:t>
      </w:r>
    </w:p>
    <w:p w:rsidR="00660ED6" w:rsidRDefault="00660ED6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660ED6" w:rsidRDefault="005B530A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Práci předložil student:  Pavlína ZAKOUŘILOVÁ</w:t>
      </w:r>
    </w:p>
    <w:p w:rsidR="00660ED6" w:rsidRDefault="005B530A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660ED6" w:rsidRDefault="005B530A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Studijní obor a specializace:</w:t>
      </w:r>
      <w:r>
        <w:rPr>
          <w:rFonts w:ascii="Garamond" w:eastAsia="Garamond" w:hAnsi="Garamond" w:cs="Garamond"/>
          <w:sz w:val="24"/>
          <w:szCs w:val="24"/>
        </w:rPr>
        <w:t xml:space="preserve"> Design kovu a šperku</w:t>
      </w:r>
    </w:p>
    <w:p w:rsidR="00660ED6" w:rsidRDefault="00660ED6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:rsidR="00660ED6" w:rsidRDefault="005B530A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Posudek oponenta práce </w:t>
      </w:r>
    </w:p>
    <w:p w:rsidR="00660ED6" w:rsidRDefault="00660ED6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660ED6" w:rsidRDefault="005B530A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Práci hodnotil: MgA. Kateřina Řezáčová</w:t>
      </w:r>
    </w:p>
    <w:p w:rsidR="00660ED6" w:rsidRDefault="005B530A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Cíl práce</w:t>
      </w:r>
    </w:p>
    <w:p w:rsidR="00660ED6" w:rsidRDefault="005B530A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Autorka splnila deklarovaný cíl a vyhověla zadání jak po formální, tak faktické stránce. </w:t>
      </w:r>
    </w:p>
    <w:p w:rsidR="00660ED6" w:rsidRDefault="005B530A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Vytvořila dle zadání kolekci prstenů s etují a vypracovala textovou práci v dostatečném rozsahu. </w:t>
      </w:r>
    </w:p>
    <w:p w:rsidR="00660ED6" w:rsidRDefault="005B530A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Stručný komentář hodnotitele</w:t>
      </w:r>
    </w:p>
    <w:p w:rsidR="00660ED6" w:rsidRDefault="005B530A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Prsteny ze série s názvem Le.chtivá jsou podle autorky určeny pro intimní radosti a slouží </w:t>
      </w:r>
      <w:r>
        <w:rPr>
          <w:rFonts w:ascii="Garamond" w:eastAsia="Garamond" w:hAnsi="Garamond" w:cs="Garamond"/>
          <w:sz w:val="24"/>
          <w:szCs w:val="24"/>
        </w:rPr>
        <w:br/>
        <w:t xml:space="preserve">ke sblížení a potěšení. Jsou inspirovány flirtem, zvláště pak v době baroka, na dvoře Ludvíka XVI., odkud čerpá autorka inspiraci k výběru použitých materiálů jako </w:t>
      </w:r>
      <w:r>
        <w:rPr>
          <w:rFonts w:ascii="Garamond" w:eastAsia="Garamond" w:hAnsi="Garamond" w:cs="Garamond"/>
          <w:sz w:val="24"/>
          <w:szCs w:val="24"/>
        </w:rPr>
        <w:t xml:space="preserve">jsou perly a pštrosí peří v růžové barvě. Prsteny jsou subtilní, minimalistické, geometricky pravidelné a jsou vyrobeny ze stříbrného drátku a stěžejek. Bohužel na pohled jsou prsteny až příliš křehké </w:t>
      </w:r>
      <w:r>
        <w:rPr>
          <w:rFonts w:ascii="Garamond" w:eastAsia="Garamond" w:hAnsi="Garamond" w:cs="Garamond"/>
          <w:sz w:val="24"/>
          <w:szCs w:val="24"/>
        </w:rPr>
        <w:br/>
        <w:t>a tak úplně nevyzývají k použití, budí dojem, že by se</w:t>
      </w:r>
      <w:r>
        <w:rPr>
          <w:rFonts w:ascii="Garamond" w:eastAsia="Garamond" w:hAnsi="Garamond" w:cs="Garamond"/>
          <w:sz w:val="24"/>
          <w:szCs w:val="24"/>
        </w:rPr>
        <w:t xml:space="preserve"> drátky mohly při použití zohýbat. Konstrukce jsou zde něco jakoby navíc, člověk by raději vzal do ruky jen samotné peříčko </w:t>
      </w:r>
      <w:r>
        <w:rPr>
          <w:rFonts w:ascii="Garamond" w:eastAsia="Garamond" w:hAnsi="Garamond" w:cs="Garamond"/>
          <w:sz w:val="24"/>
          <w:szCs w:val="24"/>
        </w:rPr>
        <w:br/>
      </w:r>
      <w:r>
        <w:rPr>
          <w:rFonts w:ascii="Garamond" w:eastAsia="Garamond" w:hAnsi="Garamond" w:cs="Garamond"/>
          <w:sz w:val="24"/>
          <w:szCs w:val="24"/>
        </w:rPr>
        <w:lastRenderedPageBreak/>
        <w:t xml:space="preserve">a použil je pro intimní doteky a lechtání. Chybí zde jistá solidnost materiálu a rafinovanost provedení, propracovanější detail či </w:t>
      </w:r>
      <w:r>
        <w:rPr>
          <w:rFonts w:ascii="Garamond" w:eastAsia="Garamond" w:hAnsi="Garamond" w:cs="Garamond"/>
          <w:sz w:val="24"/>
          <w:szCs w:val="24"/>
        </w:rPr>
        <w:t xml:space="preserve">barokní teatrálnost. </w:t>
      </w:r>
    </w:p>
    <w:p w:rsidR="00660ED6" w:rsidRDefault="005B530A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Součástí prezentace v bakalářské práci jsou i fotografie šperků, které nepovažuji za zdařilé. Jsou příliš syrové a popisné a až na výjimky nijak nevyjadřují intimitu a erotické napětí okamžiku, které by měly šperky podněcovat. V tomto</w:t>
      </w:r>
      <w:r>
        <w:rPr>
          <w:rFonts w:ascii="Garamond" w:eastAsia="Garamond" w:hAnsi="Garamond" w:cs="Garamond"/>
          <w:sz w:val="24"/>
          <w:szCs w:val="24"/>
        </w:rPr>
        <w:t xml:space="preserve"> směru by méně bylo více. </w:t>
      </w:r>
    </w:p>
    <w:p w:rsidR="00660ED6" w:rsidRDefault="005B530A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Součástí práce mají být i etuje na šperky, o kterých se autorka v textové části a její obrazové příloze nezmiňuje. Nicméně jsem měla možnost schránku na šperky vidět. Zde autorka na všechny šperky vytvořila papírovou krabici vypo</w:t>
      </w:r>
      <w:r>
        <w:rPr>
          <w:rFonts w:ascii="Garamond" w:eastAsia="Garamond" w:hAnsi="Garamond" w:cs="Garamond"/>
          <w:sz w:val="24"/>
          <w:szCs w:val="24"/>
        </w:rPr>
        <w:t xml:space="preserve">lstrovanou látkou, převážnou stuhou. Tento způsob adjustace nepovažuji za příliš zdařilý. Dokáží si představit luxusnější balení, které by podnítilo fantazii a chuť k použití, protože v případě kolekce Le.chtivá se nejedná o šperky </w:t>
      </w:r>
      <w:r>
        <w:rPr>
          <w:rFonts w:ascii="Garamond" w:eastAsia="Garamond" w:hAnsi="Garamond" w:cs="Garamond"/>
          <w:sz w:val="24"/>
          <w:szCs w:val="24"/>
        </w:rPr>
        <w:br/>
        <w:t>k běžnému nošení, ale s</w:t>
      </w:r>
      <w:r>
        <w:rPr>
          <w:rFonts w:ascii="Garamond" w:eastAsia="Garamond" w:hAnsi="Garamond" w:cs="Garamond"/>
          <w:sz w:val="24"/>
          <w:szCs w:val="24"/>
        </w:rPr>
        <w:t xml:space="preserve">píše příležitostnému použití. </w:t>
      </w:r>
    </w:p>
    <w:p w:rsidR="00660ED6" w:rsidRDefault="005B530A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Z mého pohledu je kolekce až zbytečně rozsáhlá množstvím variací jednotlivých kusů, naopak příliš povrchní a banální svým zpracováním. </w:t>
      </w:r>
    </w:p>
    <w:p w:rsidR="00660ED6" w:rsidRDefault="005B53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Vyjádření o plagiátorství</w:t>
      </w:r>
    </w:p>
    <w:p w:rsidR="00660ED6" w:rsidRDefault="005B530A">
      <w:pPr>
        <w:spacing w:after="120" w:line="360" w:lineRule="auto"/>
        <w:ind w:left="360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Nepovažuji dílo za plagiát. Dílo je autorským počinem. </w:t>
      </w:r>
    </w:p>
    <w:p w:rsidR="00660ED6" w:rsidRDefault="005B530A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4. Navrhovaná známka a případný komentář</w:t>
      </w:r>
    </w:p>
    <w:p w:rsidR="00660ED6" w:rsidRDefault="005B530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i/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Vzhledem k předchozímu komentáři práci navrhuji hodnotit známkou </w:t>
      </w:r>
      <w:r>
        <w:rPr>
          <w:rFonts w:ascii="Garamond" w:eastAsia="Garamond" w:hAnsi="Garamond" w:cs="Garamond"/>
          <w:b/>
          <w:sz w:val="24"/>
          <w:szCs w:val="24"/>
        </w:rPr>
        <w:t>dobře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660ED6" w:rsidRDefault="00660ED6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660ED6" w:rsidRDefault="005B53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Garamond" w:eastAsia="Garamond" w:hAnsi="Garamond" w:cs="Garamond"/>
          <w:b/>
          <w:sz w:val="24"/>
          <w:szCs w:val="24"/>
        </w:rPr>
        <w:t>Datum: 20. 5. 2022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>MgA. Kateřina Řezáčová</w:t>
      </w:r>
    </w:p>
    <w:p w:rsidR="00660ED6" w:rsidRDefault="005B53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660ED6" w:rsidRDefault="00660ED6">
      <w:pPr>
        <w:rPr>
          <w:rFonts w:ascii="Garamond" w:eastAsia="Garamond" w:hAnsi="Garamond" w:cs="Garamond"/>
        </w:rPr>
      </w:pPr>
    </w:p>
    <w:p w:rsidR="00660ED6" w:rsidRDefault="00660ED6">
      <w:pPr>
        <w:rPr>
          <w:rFonts w:ascii="Garamond" w:eastAsia="Garamond" w:hAnsi="Garamond" w:cs="Garamond"/>
        </w:rPr>
      </w:pPr>
    </w:p>
    <w:p w:rsidR="00660ED6" w:rsidRDefault="00660ED6">
      <w:pPr>
        <w:rPr>
          <w:rFonts w:ascii="Garamond" w:eastAsia="Garamond" w:hAnsi="Garamond" w:cs="Garamond"/>
        </w:rPr>
      </w:pPr>
    </w:p>
    <w:p w:rsidR="00660ED6" w:rsidRDefault="00660ED6">
      <w:pPr>
        <w:rPr>
          <w:rFonts w:ascii="Garamond" w:eastAsia="Garamond" w:hAnsi="Garamond" w:cs="Garamond"/>
        </w:rPr>
      </w:pPr>
    </w:p>
    <w:p w:rsidR="00660ED6" w:rsidRDefault="00660ED6">
      <w:pPr>
        <w:rPr>
          <w:rFonts w:ascii="Garamond" w:eastAsia="Garamond" w:hAnsi="Garamond" w:cs="Garamond"/>
        </w:rPr>
      </w:pPr>
    </w:p>
    <w:p w:rsidR="00660ED6" w:rsidRDefault="00660ED6">
      <w:pPr>
        <w:spacing w:after="120" w:line="360" w:lineRule="auto"/>
        <w:rPr>
          <w:rFonts w:ascii="Garamond" w:eastAsia="Garamond" w:hAnsi="Garamond" w:cs="Garamond"/>
        </w:rPr>
      </w:pPr>
    </w:p>
    <w:sectPr w:rsidR="00660ED6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30A" w:rsidRDefault="005B530A">
      <w:pPr>
        <w:spacing w:after="0" w:line="240" w:lineRule="auto"/>
      </w:pPr>
      <w:r>
        <w:separator/>
      </w:r>
    </w:p>
  </w:endnote>
  <w:endnote w:type="continuationSeparator" w:id="0">
    <w:p w:rsidR="005B530A" w:rsidRDefault="005B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D6" w:rsidRDefault="005B53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516493">
      <w:rPr>
        <w:rFonts w:ascii="Arial" w:eastAsia="Arial" w:hAnsi="Arial" w:cs="Arial"/>
        <w:color w:val="000000"/>
      </w:rPr>
      <w:fldChar w:fldCharType="separate"/>
    </w:r>
    <w:r w:rsidR="00516493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:rsidR="00660ED6" w:rsidRDefault="00660E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30A" w:rsidRDefault="005B530A">
      <w:pPr>
        <w:spacing w:after="0" w:line="240" w:lineRule="auto"/>
      </w:pPr>
      <w:r>
        <w:separator/>
      </w:r>
    </w:p>
  </w:footnote>
  <w:footnote w:type="continuationSeparator" w:id="0">
    <w:p w:rsidR="005B530A" w:rsidRDefault="005B5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43988"/>
    <w:multiLevelType w:val="multilevel"/>
    <w:tmpl w:val="B1F48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D6"/>
    <w:rsid w:val="00516493"/>
    <w:rsid w:val="005B530A"/>
    <w:rsid w:val="0066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A699A3D-E18F-4DDF-B05F-6E4CA7C9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rPr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8DOViUSlr9f06wzYMNNOWekEPg==">AMUW2mU43qa03j7Mfqq2cmRtT8B9jrcFTJxW9VGyU1irf6XxUfiMkJhHR1/k1nmPigeEJI4CkrmLt03X1USjqL/M/Kpf33bSAUhYP8cqj0EpSl70vJzb20Nu7fAxbjceT8+kYGIAG19B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2</cp:revision>
  <dcterms:created xsi:type="dcterms:W3CDTF">2022-05-24T10:16:00Z</dcterms:created>
  <dcterms:modified xsi:type="dcterms:W3CDTF">2022-05-24T10:16:00Z</dcterms:modified>
</cp:coreProperties>
</file>