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954FC" w14:textId="77777777" w:rsidR="00425ED8" w:rsidRPr="00425ED8" w:rsidRDefault="00425ED8" w:rsidP="00425ED8">
      <w:pPr>
        <w:jc w:val="center"/>
        <w:rPr>
          <w:rFonts w:eastAsia="Times New Roman" w:cs="Times New Roman"/>
          <w:b/>
          <w:sz w:val="26"/>
          <w:szCs w:val="26"/>
        </w:rPr>
      </w:pPr>
      <w:r w:rsidRPr="00425ED8">
        <w:rPr>
          <w:rFonts w:eastAsia="Times New Roman" w:cs="Times New Roman"/>
          <w:b/>
          <w:sz w:val="26"/>
          <w:szCs w:val="26"/>
        </w:rPr>
        <w:t>ZÁPADOČESKÁ UNIVERZITA V PLZNI</w:t>
      </w:r>
    </w:p>
    <w:p w14:paraId="12FE371E" w14:textId="77777777" w:rsidR="00425ED8" w:rsidRPr="00425ED8" w:rsidRDefault="00425ED8" w:rsidP="00425ED8">
      <w:pPr>
        <w:jc w:val="center"/>
        <w:rPr>
          <w:rFonts w:eastAsia="Times New Roman" w:cs="Times New Roman"/>
          <w:b/>
          <w:sz w:val="26"/>
          <w:szCs w:val="26"/>
        </w:rPr>
      </w:pPr>
      <w:r w:rsidRPr="00425ED8">
        <w:rPr>
          <w:rFonts w:eastAsia="Times New Roman" w:cs="Times New Roman"/>
          <w:b/>
          <w:sz w:val="26"/>
          <w:szCs w:val="26"/>
        </w:rPr>
        <w:t>Fakulta právnická</w:t>
      </w:r>
    </w:p>
    <w:p w14:paraId="3D953F22" w14:textId="77777777" w:rsidR="00425ED8" w:rsidRPr="00425ED8" w:rsidRDefault="00425ED8" w:rsidP="00425ED8">
      <w:pPr>
        <w:pBdr>
          <w:bottom w:val="single" w:sz="6" w:space="1" w:color="auto"/>
        </w:pBdr>
        <w:jc w:val="center"/>
        <w:rPr>
          <w:rFonts w:eastAsia="Times New Roman" w:cs="Times New Roman"/>
          <w:b/>
          <w:sz w:val="26"/>
          <w:szCs w:val="26"/>
        </w:rPr>
      </w:pPr>
      <w:r w:rsidRPr="00425ED8">
        <w:rPr>
          <w:rFonts w:eastAsia="Times New Roman" w:cs="Times New Roman"/>
          <w:b/>
          <w:sz w:val="26"/>
          <w:szCs w:val="26"/>
        </w:rPr>
        <w:t>Katedra správního práva</w:t>
      </w:r>
    </w:p>
    <w:p w14:paraId="21A3CEE6" w14:textId="77777777" w:rsidR="00425ED8" w:rsidRPr="00425ED8" w:rsidRDefault="00425ED8" w:rsidP="00425ED8">
      <w:pPr>
        <w:rPr>
          <w:rFonts w:eastAsia="Times New Roman" w:cs="Times New Roman"/>
        </w:rPr>
      </w:pPr>
    </w:p>
    <w:p w14:paraId="24451557" w14:textId="77777777" w:rsidR="00425ED8" w:rsidRDefault="00425ED8" w:rsidP="00425ED8">
      <w:pPr>
        <w:jc w:val="center"/>
        <w:rPr>
          <w:rFonts w:eastAsia="Times New Roman" w:cs="Times New Roman"/>
          <w:b/>
          <w:sz w:val="22"/>
          <w:szCs w:val="28"/>
        </w:rPr>
      </w:pPr>
      <w:r w:rsidRPr="00425ED8">
        <w:rPr>
          <w:rFonts w:eastAsia="Times New Roman" w:cs="Times New Roman"/>
          <w:b/>
          <w:sz w:val="28"/>
          <w:szCs w:val="28"/>
        </w:rPr>
        <w:t xml:space="preserve">Posudek </w:t>
      </w:r>
      <w:r w:rsidR="00B6134F">
        <w:rPr>
          <w:rFonts w:eastAsia="Times New Roman" w:cs="Times New Roman"/>
          <w:b/>
          <w:sz w:val="28"/>
          <w:szCs w:val="28"/>
        </w:rPr>
        <w:t xml:space="preserve">vedoucího </w:t>
      </w:r>
      <w:r w:rsidRPr="00425ED8">
        <w:rPr>
          <w:rFonts w:eastAsia="Times New Roman" w:cs="Times New Roman"/>
          <w:b/>
          <w:sz w:val="28"/>
          <w:szCs w:val="28"/>
        </w:rPr>
        <w:t>diplomové práce</w:t>
      </w:r>
    </w:p>
    <w:p w14:paraId="09505E89" w14:textId="77777777" w:rsidR="00425ED8" w:rsidRPr="00425ED8" w:rsidRDefault="00425ED8" w:rsidP="00425ED8">
      <w:pPr>
        <w:jc w:val="center"/>
        <w:rPr>
          <w:rFonts w:eastAsia="Times New Roman" w:cs="Times New Roman"/>
          <w:b/>
        </w:rPr>
      </w:pPr>
    </w:p>
    <w:p w14:paraId="6B475C86" w14:textId="6E77B69F" w:rsidR="00425ED8" w:rsidRPr="00425ED8" w:rsidRDefault="00425ED8" w:rsidP="00425ED8">
      <w:pPr>
        <w:spacing w:line="360" w:lineRule="auto"/>
        <w:ind w:left="2124" w:hanging="2124"/>
        <w:jc w:val="both"/>
        <w:rPr>
          <w:rFonts w:eastAsia="Times New Roman" w:cs="Times New Roman"/>
          <w:b/>
        </w:rPr>
      </w:pPr>
      <w:r w:rsidRPr="00425ED8">
        <w:rPr>
          <w:rFonts w:eastAsia="Times New Roman" w:cs="Times New Roman"/>
          <w:b/>
        </w:rPr>
        <w:t>Název práce:</w:t>
      </w:r>
      <w:r w:rsidRPr="00425ED8">
        <w:rPr>
          <w:rFonts w:eastAsia="Times New Roman" w:cs="Times New Roman"/>
          <w:b/>
        </w:rPr>
        <w:tab/>
      </w:r>
      <w:bookmarkStart w:id="0" w:name="_Hlk41402188"/>
      <w:r w:rsidR="005C7074">
        <w:rPr>
          <w:rFonts w:eastAsia="Times New Roman" w:cs="Times New Roman"/>
          <w:b/>
        </w:rPr>
        <w:t>Obecně závazné vyhlášky obcí</w:t>
      </w:r>
    </w:p>
    <w:bookmarkEnd w:id="0"/>
    <w:p w14:paraId="2BB567B5" w14:textId="146D85DD" w:rsidR="00425ED8" w:rsidRPr="00425ED8" w:rsidRDefault="00425ED8" w:rsidP="00425ED8">
      <w:pPr>
        <w:spacing w:line="360" w:lineRule="auto"/>
        <w:jc w:val="both"/>
        <w:rPr>
          <w:rFonts w:eastAsia="Times New Roman" w:cs="Times New Roman"/>
          <w:b/>
        </w:rPr>
      </w:pPr>
      <w:r w:rsidRPr="00425ED8">
        <w:rPr>
          <w:rFonts w:eastAsia="Times New Roman" w:cs="Times New Roman"/>
          <w:b/>
        </w:rPr>
        <w:t>Diplomant</w:t>
      </w:r>
      <w:r w:rsidR="003C72AD">
        <w:rPr>
          <w:rFonts w:eastAsia="Times New Roman" w:cs="Times New Roman"/>
          <w:b/>
        </w:rPr>
        <w:t>ka</w:t>
      </w:r>
      <w:r w:rsidRPr="00425ED8">
        <w:rPr>
          <w:rFonts w:eastAsia="Times New Roman" w:cs="Times New Roman"/>
          <w:b/>
        </w:rPr>
        <w:t>:</w:t>
      </w:r>
      <w:r w:rsidR="009D0B3B">
        <w:rPr>
          <w:rFonts w:eastAsia="Times New Roman" w:cs="Times New Roman"/>
          <w:b/>
        </w:rPr>
        <w:t xml:space="preserve">     </w:t>
      </w:r>
      <w:r w:rsidRPr="00425ED8">
        <w:rPr>
          <w:rFonts w:eastAsia="Times New Roman" w:cs="Times New Roman"/>
          <w:b/>
        </w:rPr>
        <w:tab/>
      </w:r>
      <w:r w:rsidR="005C7074">
        <w:rPr>
          <w:rFonts w:eastAsia="Times New Roman" w:cs="Times New Roman"/>
          <w:b/>
        </w:rPr>
        <w:t>Kateřina Tymlová</w:t>
      </w:r>
    </w:p>
    <w:p w14:paraId="69585B4D" w14:textId="787345BE" w:rsidR="00425ED8" w:rsidRPr="00425ED8" w:rsidRDefault="00425ED8" w:rsidP="00425ED8">
      <w:pPr>
        <w:pBdr>
          <w:bottom w:val="single" w:sz="6" w:space="1" w:color="auto"/>
        </w:pBdr>
        <w:spacing w:line="360" w:lineRule="auto"/>
        <w:jc w:val="both"/>
        <w:rPr>
          <w:rFonts w:eastAsia="Times New Roman" w:cs="Times New Roman"/>
          <w:b/>
        </w:rPr>
      </w:pPr>
      <w:r w:rsidRPr="00425ED8">
        <w:rPr>
          <w:rFonts w:eastAsia="Times New Roman" w:cs="Times New Roman"/>
          <w:b/>
        </w:rPr>
        <w:t>Autor posudku:</w:t>
      </w:r>
      <w:r w:rsidRPr="00425ED8">
        <w:rPr>
          <w:rFonts w:eastAsia="Times New Roman" w:cs="Times New Roman"/>
          <w:b/>
        </w:rPr>
        <w:tab/>
        <w:t xml:space="preserve">JUDr. </w:t>
      </w:r>
      <w:r>
        <w:rPr>
          <w:rFonts w:eastAsia="Times New Roman" w:cs="Times New Roman"/>
          <w:b/>
        </w:rPr>
        <w:t xml:space="preserve">Jana </w:t>
      </w:r>
      <w:r w:rsidR="005C7074">
        <w:rPr>
          <w:rFonts w:eastAsia="Times New Roman" w:cs="Times New Roman"/>
          <w:b/>
        </w:rPr>
        <w:t>Kot</w:t>
      </w:r>
      <w:r>
        <w:rPr>
          <w:rFonts w:eastAsia="Times New Roman" w:cs="Times New Roman"/>
          <w:b/>
        </w:rPr>
        <w:t>ounová</w:t>
      </w:r>
      <w:r w:rsidR="000B1716">
        <w:rPr>
          <w:rFonts w:eastAsia="Times New Roman" w:cs="Times New Roman"/>
          <w:b/>
        </w:rPr>
        <w:t>, Ph.D.</w:t>
      </w:r>
    </w:p>
    <w:p w14:paraId="7DB37CEC" w14:textId="77777777" w:rsidR="00425ED8" w:rsidRPr="00425ED8" w:rsidRDefault="00425ED8" w:rsidP="00425ED8">
      <w:pPr>
        <w:jc w:val="both"/>
        <w:rPr>
          <w:rFonts w:eastAsia="Times New Roman" w:cs="Times New Roman"/>
          <w:b/>
        </w:rPr>
      </w:pPr>
    </w:p>
    <w:p w14:paraId="69CC75C6" w14:textId="77777777" w:rsidR="00256DE3" w:rsidRDefault="00256DE3" w:rsidP="00425ED8">
      <w:pPr>
        <w:jc w:val="both"/>
        <w:rPr>
          <w:rFonts w:eastAsia="Times New Roman" w:cs="Times New Roman"/>
          <w:b/>
        </w:rPr>
      </w:pPr>
    </w:p>
    <w:p w14:paraId="63CF1980" w14:textId="77777777" w:rsidR="00256DE3" w:rsidRPr="00256DE3" w:rsidRDefault="00425ED8" w:rsidP="00256DE3">
      <w:pPr>
        <w:spacing w:after="120"/>
        <w:jc w:val="both"/>
        <w:rPr>
          <w:rFonts w:eastAsia="Times New Roman" w:cs="Times New Roman"/>
          <w:b/>
        </w:rPr>
      </w:pPr>
      <w:r w:rsidRPr="00425ED8">
        <w:rPr>
          <w:rFonts w:eastAsia="Times New Roman" w:cs="Times New Roman"/>
          <w:b/>
        </w:rPr>
        <w:t>1. Zadání a cíl práce:</w:t>
      </w:r>
    </w:p>
    <w:p w14:paraId="292E8717" w14:textId="622A6034" w:rsidR="00BE5CF3" w:rsidRPr="00B6134F" w:rsidRDefault="003C72AD" w:rsidP="003C72AD">
      <w:pPr>
        <w:ind w:firstLine="540"/>
        <w:jc w:val="both"/>
        <w:rPr>
          <w:rFonts w:eastAsia="Times New Roman" w:cs="Times New Roman"/>
        </w:rPr>
      </w:pPr>
      <w:r>
        <w:rPr>
          <w:rFonts w:eastAsia="Times New Roman" w:cs="Times New Roman"/>
        </w:rPr>
        <w:t>Za téma</w:t>
      </w:r>
      <w:r w:rsidR="00BE5CF3">
        <w:rPr>
          <w:rFonts w:eastAsia="Times New Roman" w:cs="Times New Roman"/>
        </w:rPr>
        <w:t xml:space="preserve"> diplomové práce </w:t>
      </w:r>
      <w:r>
        <w:rPr>
          <w:rFonts w:eastAsia="Times New Roman" w:cs="Times New Roman"/>
        </w:rPr>
        <w:t>si autorka zvolila</w:t>
      </w:r>
      <w:r w:rsidR="00D82196">
        <w:rPr>
          <w:rFonts w:eastAsia="Times New Roman" w:cs="Times New Roman"/>
        </w:rPr>
        <w:t xml:space="preserve"> „</w:t>
      </w:r>
      <w:r w:rsidR="005C7074">
        <w:rPr>
          <w:rFonts w:eastAsia="Times New Roman" w:cs="Times New Roman"/>
          <w:i/>
          <w:iCs/>
        </w:rPr>
        <w:t>Obecně závazné vyhlášky obcí</w:t>
      </w:r>
      <w:r w:rsidR="00D82196" w:rsidRPr="00D82196">
        <w:rPr>
          <w:rFonts w:eastAsia="Times New Roman" w:cs="Times New Roman"/>
          <w:i/>
          <w:iCs/>
        </w:rPr>
        <w:t>.</w:t>
      </w:r>
      <w:r w:rsidR="00D82196">
        <w:rPr>
          <w:rFonts w:eastAsia="Times New Roman" w:cs="Times New Roman"/>
        </w:rPr>
        <w:t>“</w:t>
      </w:r>
      <w:r w:rsidR="00B6134F">
        <w:rPr>
          <w:rFonts w:eastAsia="Times New Roman" w:cs="Times New Roman"/>
        </w:rPr>
        <w:t xml:space="preserve"> </w:t>
      </w:r>
      <w:r w:rsidR="00D82196">
        <w:rPr>
          <w:rFonts w:eastAsia="Times New Roman" w:cs="Times New Roman"/>
        </w:rPr>
        <w:t>Za</w:t>
      </w:r>
      <w:r w:rsidR="00D8174D">
        <w:rPr>
          <w:rFonts w:eastAsia="Times New Roman" w:cs="Times New Roman"/>
        </w:rPr>
        <w:t> </w:t>
      </w:r>
      <w:r w:rsidR="00D82196">
        <w:rPr>
          <w:rFonts w:eastAsia="Times New Roman" w:cs="Times New Roman"/>
        </w:rPr>
        <w:t xml:space="preserve">cíl práce si </w:t>
      </w:r>
      <w:r w:rsidR="000B1716">
        <w:rPr>
          <w:rFonts w:eastAsia="Times New Roman" w:cs="Times New Roman"/>
        </w:rPr>
        <w:t xml:space="preserve">pak </w:t>
      </w:r>
      <w:r w:rsidR="00D82196">
        <w:rPr>
          <w:rFonts w:eastAsia="Times New Roman" w:cs="Times New Roman"/>
        </w:rPr>
        <w:t>autor</w:t>
      </w:r>
      <w:r>
        <w:rPr>
          <w:rFonts w:eastAsia="Times New Roman" w:cs="Times New Roman"/>
        </w:rPr>
        <w:t>ka</w:t>
      </w:r>
      <w:r w:rsidR="000B1716">
        <w:rPr>
          <w:rFonts w:eastAsia="Times New Roman" w:cs="Times New Roman"/>
        </w:rPr>
        <w:t xml:space="preserve"> v úvodu</w:t>
      </w:r>
      <w:r w:rsidR="00D82196">
        <w:rPr>
          <w:rFonts w:eastAsia="Times New Roman" w:cs="Times New Roman"/>
        </w:rPr>
        <w:t xml:space="preserve"> </w:t>
      </w:r>
      <w:r w:rsidR="000B1716">
        <w:rPr>
          <w:rFonts w:eastAsia="Times New Roman" w:cs="Times New Roman"/>
        </w:rPr>
        <w:t xml:space="preserve">práce </w:t>
      </w:r>
      <w:r>
        <w:rPr>
          <w:rFonts w:eastAsia="Times New Roman" w:cs="Times New Roman"/>
        </w:rPr>
        <w:t>stanovila</w:t>
      </w:r>
      <w:r w:rsidR="00D82196">
        <w:rPr>
          <w:rFonts w:eastAsia="Times New Roman" w:cs="Times New Roman"/>
        </w:rPr>
        <w:t xml:space="preserve"> </w:t>
      </w:r>
      <w:r w:rsidR="005C7074">
        <w:rPr>
          <w:rFonts w:eastAsia="Times New Roman" w:cs="Times New Roman"/>
        </w:rPr>
        <w:t>„</w:t>
      </w:r>
      <w:r w:rsidR="005C7074" w:rsidRPr="005C7074">
        <w:rPr>
          <w:rFonts w:eastAsia="Times New Roman" w:cs="Times New Roman"/>
          <w:i/>
          <w:iCs/>
        </w:rPr>
        <w:t>optimálním způsobem analyzovat a popsat tvorbu obecně závazných vyhlášek a jejich následné vyhlašování</w:t>
      </w:r>
      <w:r w:rsidR="005C7074">
        <w:rPr>
          <w:rFonts w:eastAsia="Times New Roman" w:cs="Times New Roman"/>
        </w:rPr>
        <w:t>“ a také „</w:t>
      </w:r>
      <w:r w:rsidR="005C7074" w:rsidRPr="005C7074">
        <w:rPr>
          <w:rFonts w:eastAsia="Times New Roman" w:cs="Times New Roman"/>
          <w:i/>
          <w:iCs/>
        </w:rPr>
        <w:t>zaměřit se na porovnání obecně závazných vyhlášek v různých typech obce</w:t>
      </w:r>
      <w:r w:rsidR="005C7074">
        <w:rPr>
          <w:rFonts w:eastAsia="Times New Roman" w:cs="Times New Roman"/>
        </w:rPr>
        <w:t>.</w:t>
      </w:r>
      <w:r>
        <w:rPr>
          <w:rFonts w:eastAsia="Times New Roman" w:cs="Times New Roman"/>
        </w:rPr>
        <w:t xml:space="preserve">“ </w:t>
      </w:r>
      <w:r w:rsidR="00BE5CF3">
        <w:rPr>
          <w:rFonts w:eastAsia="Times New Roman" w:cs="Times New Roman"/>
        </w:rPr>
        <w:t>Autor</w:t>
      </w:r>
      <w:r>
        <w:rPr>
          <w:rFonts w:eastAsia="Times New Roman" w:cs="Times New Roman"/>
        </w:rPr>
        <w:t>ka</w:t>
      </w:r>
      <w:r w:rsidR="00BE5CF3">
        <w:rPr>
          <w:rFonts w:eastAsia="Times New Roman" w:cs="Times New Roman"/>
        </w:rPr>
        <w:t xml:space="preserve"> si vybral</w:t>
      </w:r>
      <w:r>
        <w:rPr>
          <w:rFonts w:eastAsia="Times New Roman" w:cs="Times New Roman"/>
        </w:rPr>
        <w:t>a</w:t>
      </w:r>
      <w:r w:rsidR="00BE5CF3">
        <w:rPr>
          <w:rFonts w:eastAsia="Times New Roman" w:cs="Times New Roman"/>
        </w:rPr>
        <w:t xml:space="preserve"> téma</w:t>
      </w:r>
      <w:r w:rsidR="005C7074">
        <w:rPr>
          <w:rFonts w:eastAsia="Times New Roman" w:cs="Times New Roman"/>
        </w:rPr>
        <w:t>, které již bylo předmětem celé řady kvalifikačních prací, nicméně je to téma</w:t>
      </w:r>
      <w:r w:rsidR="00BE5CF3">
        <w:rPr>
          <w:rFonts w:eastAsia="Times New Roman" w:cs="Times New Roman"/>
        </w:rPr>
        <w:t xml:space="preserve"> </w:t>
      </w:r>
      <w:r>
        <w:rPr>
          <w:rFonts w:eastAsia="Times New Roman" w:cs="Times New Roman"/>
        </w:rPr>
        <w:t xml:space="preserve">nepochybně </w:t>
      </w:r>
      <w:r w:rsidR="00BE5CF3">
        <w:rPr>
          <w:rFonts w:eastAsia="Times New Roman" w:cs="Times New Roman"/>
        </w:rPr>
        <w:t>zajímavé,</w:t>
      </w:r>
      <w:r w:rsidR="005C7074">
        <w:rPr>
          <w:rFonts w:eastAsia="Times New Roman" w:cs="Times New Roman"/>
        </w:rPr>
        <w:t xml:space="preserve"> které neustále skýtá prostor pro jeho originální zpracování</w:t>
      </w:r>
      <w:r>
        <w:rPr>
          <w:rFonts w:eastAsia="Times New Roman" w:cs="Times New Roman"/>
        </w:rPr>
        <w:t>.</w:t>
      </w:r>
      <w:r w:rsidR="00BE5CF3">
        <w:rPr>
          <w:rFonts w:eastAsia="Times New Roman" w:cs="Times New Roman"/>
        </w:rPr>
        <w:t xml:space="preserve"> </w:t>
      </w:r>
      <w:r>
        <w:rPr>
          <w:rFonts w:eastAsia="Times New Roman" w:cs="Times New Roman"/>
        </w:rPr>
        <w:t>J</w:t>
      </w:r>
      <w:r w:rsidR="00BE5CF3">
        <w:rPr>
          <w:rFonts w:eastAsia="Times New Roman" w:cs="Times New Roman"/>
        </w:rPr>
        <w:t>ak zadání práce, tak i její cíl odpovídají požadavkům kladeným na zpracování diplomové práce na právnické fakultě.</w:t>
      </w:r>
    </w:p>
    <w:p w14:paraId="221EB738" w14:textId="77777777" w:rsidR="00425ED8" w:rsidRPr="00425ED8" w:rsidRDefault="00425ED8" w:rsidP="00425ED8">
      <w:pPr>
        <w:jc w:val="both"/>
        <w:rPr>
          <w:rFonts w:eastAsia="Times New Roman" w:cs="Times New Roman"/>
        </w:rPr>
      </w:pPr>
    </w:p>
    <w:p w14:paraId="0F679825" w14:textId="77777777" w:rsidR="00256DE3" w:rsidRPr="00425ED8" w:rsidRDefault="00425ED8" w:rsidP="00256DE3">
      <w:pPr>
        <w:spacing w:after="120"/>
        <w:ind w:left="357" w:hanging="357"/>
        <w:jc w:val="both"/>
        <w:rPr>
          <w:rFonts w:eastAsia="Times New Roman" w:cs="Times New Roman"/>
          <w:b/>
        </w:rPr>
      </w:pPr>
      <w:r w:rsidRPr="00425ED8">
        <w:rPr>
          <w:rFonts w:eastAsia="Times New Roman" w:cs="Times New Roman"/>
          <w:b/>
        </w:rPr>
        <w:t>2. Přístup studenta k řešení zadaného úkolu, původnost a úroveň práce s prameny:</w:t>
      </w:r>
    </w:p>
    <w:p w14:paraId="019B23C7" w14:textId="186ABCE8" w:rsidR="005C7074" w:rsidRDefault="00C25661" w:rsidP="00CD7C03">
      <w:pPr>
        <w:spacing w:before="120"/>
        <w:ind w:firstLine="709"/>
        <w:jc w:val="both"/>
        <w:rPr>
          <w:rFonts w:eastAsia="Times New Roman" w:cs="Times New Roman"/>
        </w:rPr>
      </w:pPr>
      <w:r>
        <w:rPr>
          <w:rFonts w:eastAsia="Times New Roman" w:cs="Times New Roman"/>
        </w:rPr>
        <w:t>Autor</w:t>
      </w:r>
      <w:r w:rsidR="003C72AD">
        <w:rPr>
          <w:rFonts w:eastAsia="Times New Roman" w:cs="Times New Roman"/>
        </w:rPr>
        <w:t>ka</w:t>
      </w:r>
      <w:r>
        <w:rPr>
          <w:rFonts w:eastAsia="Times New Roman" w:cs="Times New Roman"/>
        </w:rPr>
        <w:t xml:space="preserve"> práci rozdělil</w:t>
      </w:r>
      <w:r w:rsidR="003C72AD">
        <w:rPr>
          <w:rFonts w:eastAsia="Times New Roman" w:cs="Times New Roman"/>
        </w:rPr>
        <w:t xml:space="preserve">a </w:t>
      </w:r>
      <w:r>
        <w:rPr>
          <w:rFonts w:eastAsia="Times New Roman" w:cs="Times New Roman"/>
        </w:rPr>
        <w:t xml:space="preserve">do </w:t>
      </w:r>
      <w:r w:rsidR="003C72AD">
        <w:rPr>
          <w:rFonts w:eastAsia="Times New Roman" w:cs="Times New Roman"/>
        </w:rPr>
        <w:t>4</w:t>
      </w:r>
      <w:r w:rsidR="00BE5CF3">
        <w:rPr>
          <w:rFonts w:eastAsia="Times New Roman" w:cs="Times New Roman"/>
        </w:rPr>
        <w:t xml:space="preserve"> </w:t>
      </w:r>
      <w:r>
        <w:rPr>
          <w:rFonts w:eastAsia="Times New Roman" w:cs="Times New Roman"/>
        </w:rPr>
        <w:t xml:space="preserve">hlavních kapitol, kdy </w:t>
      </w:r>
      <w:r w:rsidR="00D81ECD">
        <w:rPr>
          <w:rFonts w:eastAsia="Times New Roman" w:cs="Times New Roman"/>
        </w:rPr>
        <w:t xml:space="preserve">se </w:t>
      </w:r>
      <w:r>
        <w:rPr>
          <w:rFonts w:eastAsia="Times New Roman" w:cs="Times New Roman"/>
        </w:rPr>
        <w:t xml:space="preserve">nejprve </w:t>
      </w:r>
      <w:r w:rsidR="005971E6">
        <w:rPr>
          <w:rFonts w:eastAsia="Times New Roman" w:cs="Times New Roman"/>
        </w:rPr>
        <w:t>věnoval</w:t>
      </w:r>
      <w:r w:rsidR="001A4172">
        <w:rPr>
          <w:rFonts w:eastAsia="Times New Roman" w:cs="Times New Roman"/>
        </w:rPr>
        <w:t xml:space="preserve">a </w:t>
      </w:r>
      <w:r w:rsidR="005C7074">
        <w:rPr>
          <w:rFonts w:eastAsia="Times New Roman" w:cs="Times New Roman"/>
        </w:rPr>
        <w:t>základním pojmům jako je samospráva a územně samosprávný celek (kapitola 2) a obecně závazná vyhláška (kapitola 2). Třetí kapitola, která představuje stěžejní část práce, byla věnována tvorbě obecně závazné vyhlášky. Poslední kapitola byla zaměřena na praktickou část, kdy se autorka věnovala porovnání obecně závazných vyhlášek vybraných obcí.</w:t>
      </w:r>
    </w:p>
    <w:p w14:paraId="1F10EECB" w14:textId="77777777" w:rsidR="007C4CB3" w:rsidRDefault="005971E6" w:rsidP="007C4CB3">
      <w:pPr>
        <w:spacing w:before="120"/>
        <w:ind w:firstLine="709"/>
        <w:jc w:val="both"/>
        <w:rPr>
          <w:rFonts w:eastAsia="Times New Roman" w:cs="Times New Roman"/>
        </w:rPr>
      </w:pPr>
      <w:r>
        <w:rPr>
          <w:rFonts w:eastAsia="Times New Roman" w:cs="Times New Roman"/>
        </w:rPr>
        <w:t>Struktura práce je logická a</w:t>
      </w:r>
      <w:r w:rsidR="00CD7C03">
        <w:rPr>
          <w:rFonts w:eastAsia="Times New Roman" w:cs="Times New Roman"/>
        </w:rPr>
        <w:t xml:space="preserve"> </w:t>
      </w:r>
      <w:r>
        <w:rPr>
          <w:rFonts w:eastAsia="Times New Roman" w:cs="Times New Roman"/>
        </w:rPr>
        <w:t>přehledná</w:t>
      </w:r>
      <w:r w:rsidR="00D81ECD">
        <w:rPr>
          <w:rFonts w:eastAsia="Times New Roman" w:cs="Times New Roman"/>
        </w:rPr>
        <w:t xml:space="preserve">, kapitoly jsou </w:t>
      </w:r>
      <w:r w:rsidR="00BE5CF3">
        <w:rPr>
          <w:rFonts w:eastAsia="Times New Roman" w:cs="Times New Roman"/>
        </w:rPr>
        <w:t xml:space="preserve">vzájemně </w:t>
      </w:r>
      <w:r w:rsidR="00D81ECD">
        <w:rPr>
          <w:rFonts w:eastAsia="Times New Roman" w:cs="Times New Roman"/>
        </w:rPr>
        <w:t>provázané</w:t>
      </w:r>
      <w:r w:rsidR="00BE5CF3">
        <w:rPr>
          <w:rFonts w:eastAsia="Times New Roman" w:cs="Times New Roman"/>
        </w:rPr>
        <w:t xml:space="preserve"> a jsou obsahově vyvážené. Práce je poměrně čtivá, v podstatě prosta gramatických chyb, překlepů či</w:t>
      </w:r>
      <w:r w:rsidR="005F0EEB">
        <w:rPr>
          <w:rFonts w:eastAsia="Times New Roman" w:cs="Times New Roman"/>
        </w:rPr>
        <w:t> </w:t>
      </w:r>
      <w:r w:rsidR="00BE5CF3">
        <w:rPr>
          <w:rFonts w:eastAsia="Times New Roman" w:cs="Times New Roman"/>
        </w:rPr>
        <w:t xml:space="preserve">jiných nedostatků. </w:t>
      </w:r>
    </w:p>
    <w:p w14:paraId="239206CE" w14:textId="01045A82" w:rsidR="00BE5CF3" w:rsidRDefault="00BE5CF3" w:rsidP="007C4CB3">
      <w:pPr>
        <w:spacing w:before="120"/>
        <w:ind w:firstLine="709"/>
        <w:jc w:val="both"/>
        <w:rPr>
          <w:rFonts w:eastAsia="Times New Roman" w:cs="Times New Roman"/>
        </w:rPr>
      </w:pPr>
      <w:r>
        <w:rPr>
          <w:rFonts w:eastAsia="Times New Roman" w:cs="Times New Roman"/>
        </w:rPr>
        <w:t>Po formální stránce práce splňuje předepsané požadavky</w:t>
      </w:r>
      <w:r w:rsidR="005C7074">
        <w:rPr>
          <w:rFonts w:eastAsia="Times New Roman" w:cs="Times New Roman"/>
        </w:rPr>
        <w:t>, poukázat je možné snad jen na pár drobností, kdy autorka např. používá při odkazu na poznámku pod čarou za sebou dvě tečky (např. na str. 13, 21 či 38</w:t>
      </w:r>
      <w:r w:rsidR="00F079C0">
        <w:rPr>
          <w:rFonts w:eastAsia="Times New Roman" w:cs="Times New Roman"/>
        </w:rPr>
        <w:t xml:space="preserve">) či </w:t>
      </w:r>
      <w:r w:rsidR="005C7074">
        <w:rPr>
          <w:rFonts w:eastAsia="Times New Roman" w:cs="Times New Roman"/>
        </w:rPr>
        <w:t xml:space="preserve">na některých místech má </w:t>
      </w:r>
      <w:r w:rsidR="00F079C0">
        <w:rPr>
          <w:rFonts w:eastAsia="Times New Roman" w:cs="Times New Roman"/>
        </w:rPr>
        <w:t xml:space="preserve">autorka </w:t>
      </w:r>
      <w:r w:rsidR="005C7074">
        <w:rPr>
          <w:rFonts w:eastAsia="Times New Roman" w:cs="Times New Roman"/>
        </w:rPr>
        <w:t>nadbytečné odkazy (např. poznámka pod čarou č. 12 či 34)</w:t>
      </w:r>
      <w:r w:rsidR="00F079C0">
        <w:rPr>
          <w:rFonts w:eastAsia="Times New Roman" w:cs="Times New Roman"/>
        </w:rPr>
        <w:t>.</w:t>
      </w:r>
    </w:p>
    <w:p w14:paraId="1EDA845C" w14:textId="246E37F0" w:rsidR="001A4172" w:rsidRDefault="00F079C0" w:rsidP="001A4172">
      <w:pPr>
        <w:spacing w:before="120"/>
        <w:ind w:firstLine="709"/>
        <w:jc w:val="both"/>
        <w:rPr>
          <w:rFonts w:eastAsia="Times New Roman" w:cs="Times New Roman"/>
        </w:rPr>
      </w:pPr>
      <w:r>
        <w:rPr>
          <w:rFonts w:eastAsia="Times New Roman" w:cs="Times New Roman"/>
        </w:rPr>
        <w:t>P</w:t>
      </w:r>
      <w:r w:rsidR="00BE5CF3">
        <w:rPr>
          <w:rFonts w:eastAsia="Times New Roman" w:cs="Times New Roman"/>
        </w:rPr>
        <w:t xml:space="preserve">ozitivně je </w:t>
      </w:r>
      <w:r>
        <w:rPr>
          <w:rFonts w:eastAsia="Times New Roman" w:cs="Times New Roman"/>
        </w:rPr>
        <w:t>na místě</w:t>
      </w:r>
      <w:r w:rsidR="00BE5CF3">
        <w:rPr>
          <w:rFonts w:eastAsia="Times New Roman" w:cs="Times New Roman"/>
        </w:rPr>
        <w:t xml:space="preserve"> hodnotit styl a způsob zpracování práce, kdy kromě vymezení zákonné úpravy a reflexe </w:t>
      </w:r>
      <w:r w:rsidR="001A4172">
        <w:rPr>
          <w:rFonts w:eastAsia="Times New Roman" w:cs="Times New Roman"/>
        </w:rPr>
        <w:t xml:space="preserve">příslušné </w:t>
      </w:r>
      <w:r w:rsidR="00BE5CF3">
        <w:rPr>
          <w:rFonts w:eastAsia="Times New Roman" w:cs="Times New Roman"/>
        </w:rPr>
        <w:t>judikatury autor</w:t>
      </w:r>
      <w:r w:rsidR="001A4172">
        <w:rPr>
          <w:rFonts w:eastAsia="Times New Roman" w:cs="Times New Roman"/>
        </w:rPr>
        <w:t>ka</w:t>
      </w:r>
      <w:r w:rsidR="00BE5CF3">
        <w:rPr>
          <w:rFonts w:eastAsia="Times New Roman" w:cs="Times New Roman"/>
        </w:rPr>
        <w:t xml:space="preserve"> v práci na řadě míst prezentuje svá vyjádření či názory a tyto doplňuje p</w:t>
      </w:r>
      <w:r w:rsidR="001A4172">
        <w:rPr>
          <w:rFonts w:eastAsia="Times New Roman" w:cs="Times New Roman"/>
        </w:rPr>
        <w:t>oznatky</w:t>
      </w:r>
      <w:r w:rsidR="00BE5CF3">
        <w:rPr>
          <w:rFonts w:eastAsia="Times New Roman" w:cs="Times New Roman"/>
        </w:rPr>
        <w:t xml:space="preserve"> z praxe, kdy z práce samotné je </w:t>
      </w:r>
      <w:r>
        <w:rPr>
          <w:rFonts w:eastAsia="Times New Roman" w:cs="Times New Roman"/>
        </w:rPr>
        <w:t>zřejmý</w:t>
      </w:r>
      <w:r w:rsidR="00BE5CF3">
        <w:rPr>
          <w:rFonts w:eastAsia="Times New Roman" w:cs="Times New Roman"/>
        </w:rPr>
        <w:t xml:space="preserve"> zájem autor</w:t>
      </w:r>
      <w:r w:rsidR="001A4172">
        <w:rPr>
          <w:rFonts w:eastAsia="Times New Roman" w:cs="Times New Roman"/>
        </w:rPr>
        <w:t>ky</w:t>
      </w:r>
      <w:r w:rsidR="00BE5CF3">
        <w:rPr>
          <w:rFonts w:eastAsia="Times New Roman" w:cs="Times New Roman"/>
        </w:rPr>
        <w:t xml:space="preserve"> o dané téma</w:t>
      </w:r>
      <w:r w:rsidR="001A4172">
        <w:rPr>
          <w:rFonts w:eastAsia="Times New Roman" w:cs="Times New Roman"/>
        </w:rPr>
        <w:t xml:space="preserve">. Uvedené </w:t>
      </w:r>
      <w:r w:rsidR="00E55D01">
        <w:rPr>
          <w:rFonts w:eastAsia="Times New Roman" w:cs="Times New Roman"/>
        </w:rPr>
        <w:t xml:space="preserve">diplomovou práci </w:t>
      </w:r>
      <w:r w:rsidR="001A4172">
        <w:rPr>
          <w:rFonts w:eastAsia="Times New Roman" w:cs="Times New Roman"/>
        </w:rPr>
        <w:t xml:space="preserve">významně </w:t>
      </w:r>
      <w:r w:rsidR="00E55D01">
        <w:rPr>
          <w:rFonts w:eastAsia="Times New Roman" w:cs="Times New Roman"/>
        </w:rPr>
        <w:t>obohacuje o</w:t>
      </w:r>
      <w:r w:rsidR="001A4172">
        <w:rPr>
          <w:rFonts w:eastAsia="Times New Roman" w:cs="Times New Roman"/>
        </w:rPr>
        <w:t> </w:t>
      </w:r>
      <w:r w:rsidR="005F0EEB">
        <w:rPr>
          <w:rFonts w:eastAsia="Times New Roman" w:cs="Times New Roman"/>
        </w:rPr>
        <w:t xml:space="preserve">tzv. </w:t>
      </w:r>
      <w:r w:rsidR="00E55D01">
        <w:rPr>
          <w:rFonts w:eastAsia="Times New Roman" w:cs="Times New Roman"/>
        </w:rPr>
        <w:t>přidanou hodnotu</w:t>
      </w:r>
      <w:r w:rsidR="001A4172">
        <w:rPr>
          <w:rFonts w:eastAsia="Times New Roman" w:cs="Times New Roman"/>
        </w:rPr>
        <w:t>, kdy na místě je též ocenit</w:t>
      </w:r>
      <w:r>
        <w:rPr>
          <w:rFonts w:eastAsia="Times New Roman" w:cs="Times New Roman"/>
        </w:rPr>
        <w:t xml:space="preserve"> právě praktickou část, kdy autorka porovnání obecně závazné vyhlášky vybraných obcí, kdy uvedené vhodně doplňuje i grafy k vybrané problematice. Na druhou stranu, na některých místech práce autorka zbytečně opakuje to, co již bylo v práci několikrát uvedeno.</w:t>
      </w:r>
    </w:p>
    <w:p w14:paraId="341BE4BA" w14:textId="16E592E2" w:rsidR="00BE5CF3" w:rsidRDefault="00E55D01" w:rsidP="001A4172">
      <w:pPr>
        <w:spacing w:before="120"/>
        <w:ind w:firstLine="709"/>
        <w:jc w:val="both"/>
        <w:rPr>
          <w:rFonts w:eastAsia="Times New Roman" w:cs="Times New Roman"/>
        </w:rPr>
      </w:pPr>
      <w:r>
        <w:rPr>
          <w:rFonts w:eastAsia="Times New Roman" w:cs="Times New Roman"/>
        </w:rPr>
        <w:t>Samotný text práce je na předpokládané úrovni odbornosti</w:t>
      </w:r>
      <w:r w:rsidR="00F079C0">
        <w:rPr>
          <w:rFonts w:eastAsia="Times New Roman" w:cs="Times New Roman"/>
        </w:rPr>
        <w:t>, přesto je možné poukázat na některé nejasnosti, které se v textu práce objevují – příkladmo uvádím:</w:t>
      </w:r>
    </w:p>
    <w:p w14:paraId="54BD4392" w14:textId="5567512E" w:rsidR="00F079C0" w:rsidRDefault="00F079C0" w:rsidP="00F079C0">
      <w:pPr>
        <w:pStyle w:val="Odstavecseseznamem"/>
        <w:numPr>
          <w:ilvl w:val="0"/>
          <w:numId w:val="3"/>
        </w:numPr>
        <w:spacing w:before="120"/>
        <w:jc w:val="both"/>
      </w:pPr>
      <w:r>
        <w:t>na str. 12 zmiňuje autorka pojem decentralizovaná státní správa a spojuje jej s pojmem samospráva – skutečně se pojem decentralizace pojí s výkon státní správy?</w:t>
      </w:r>
    </w:p>
    <w:p w14:paraId="24452832" w14:textId="1419D96A" w:rsidR="00F079C0" w:rsidRDefault="00F079C0" w:rsidP="00F079C0">
      <w:pPr>
        <w:pStyle w:val="Odstavecseseznamem"/>
        <w:numPr>
          <w:ilvl w:val="0"/>
          <w:numId w:val="3"/>
        </w:numPr>
        <w:spacing w:before="120"/>
        <w:jc w:val="both"/>
      </w:pPr>
      <w:r>
        <w:lastRenderedPageBreak/>
        <w:t>na str. 20 ve vztahu k vydávání obecně závazných vyhlášek používá pojem „</w:t>
      </w:r>
      <w:r w:rsidRPr="00F079C0">
        <w:rPr>
          <w:i/>
          <w:iCs/>
        </w:rPr>
        <w:t>zákonodárce</w:t>
      </w:r>
      <w:r>
        <w:t>“</w:t>
      </w:r>
    </w:p>
    <w:p w14:paraId="1C44BD2B" w14:textId="1294B0BE" w:rsidR="00F079C0" w:rsidRDefault="00F079C0" w:rsidP="00F079C0">
      <w:pPr>
        <w:pStyle w:val="Odstavecseseznamem"/>
        <w:numPr>
          <w:ilvl w:val="0"/>
          <w:numId w:val="3"/>
        </w:numPr>
        <w:spacing w:before="120"/>
        <w:jc w:val="both"/>
      </w:pPr>
      <w:r>
        <w:t>na str. 22 autorka konstatuje rozpolcenost odborné veřejnosti v názoru na ukládání povinností pomocí obecně závazných vyhlášek – nebyly tyto rozpolcené názory vyjádřeny již v minulosti a nebyly tyto náhodou následně překonány Ústavním soudem?</w:t>
      </w:r>
    </w:p>
    <w:p w14:paraId="437EBE56" w14:textId="42A85000" w:rsidR="00F079C0" w:rsidRDefault="007A531B" w:rsidP="00F079C0">
      <w:pPr>
        <w:pStyle w:val="Odstavecseseznamem"/>
        <w:numPr>
          <w:ilvl w:val="0"/>
          <w:numId w:val="3"/>
        </w:numPr>
        <w:spacing w:before="120"/>
        <w:jc w:val="both"/>
      </w:pPr>
      <w:r>
        <w:t>na str. 30 je nesprávně zmiňován jako další typ změny hranic „</w:t>
      </w:r>
      <w:r w:rsidRPr="007A531B">
        <w:rPr>
          <w:i/>
          <w:iCs/>
        </w:rPr>
        <w:t>rozdělení</w:t>
      </w:r>
      <w:r>
        <w:t>“</w:t>
      </w:r>
    </w:p>
    <w:p w14:paraId="49E770B1" w14:textId="3BC33A38" w:rsidR="007A531B" w:rsidRDefault="007A531B" w:rsidP="00F079C0">
      <w:pPr>
        <w:pStyle w:val="Odstavecseseznamem"/>
        <w:numPr>
          <w:ilvl w:val="0"/>
          <w:numId w:val="3"/>
        </w:numPr>
        <w:spacing w:before="120"/>
        <w:jc w:val="both"/>
      </w:pPr>
      <w:r>
        <w:t>na str. 25 autorka konstatuje u obecně závazné vyhlášky posouzení jako právního aktu nicotného (nulitního) – skutečně je nicotnost vadou, kterou mohou mít abstraktní akty?</w:t>
      </w:r>
    </w:p>
    <w:p w14:paraId="746210B5" w14:textId="2C4A3D38" w:rsidR="007A531B" w:rsidRDefault="007A531B" w:rsidP="00F079C0">
      <w:pPr>
        <w:pStyle w:val="Odstavecseseznamem"/>
        <w:numPr>
          <w:ilvl w:val="0"/>
          <w:numId w:val="3"/>
        </w:numPr>
        <w:spacing w:before="120"/>
        <w:jc w:val="both"/>
      </w:pPr>
      <w:r>
        <w:t>není zřejmé, z čeho autorka usuzuje, že u obecně závazné vyhlášky nesmí chybět tzv. úvodní věta (str. 41),</w:t>
      </w:r>
    </w:p>
    <w:p w14:paraId="2D7B33FA" w14:textId="36360A6B" w:rsidR="007A531B" w:rsidRDefault="007A531B" w:rsidP="00F079C0">
      <w:pPr>
        <w:pStyle w:val="Odstavecseseznamem"/>
        <w:numPr>
          <w:ilvl w:val="0"/>
          <w:numId w:val="3"/>
        </w:numPr>
        <w:spacing w:before="120"/>
        <w:jc w:val="both"/>
      </w:pPr>
      <w:r>
        <w:t>na str. 46 v poznámce pod čarou je nesprávně uvedeno, že u kraje podepisuje obecně závazné vyhlášky „</w:t>
      </w:r>
      <w:r w:rsidRPr="007A531B">
        <w:rPr>
          <w:i/>
          <w:iCs/>
        </w:rPr>
        <w:t>primátor</w:t>
      </w:r>
      <w:r w:rsidR="007C4CB3">
        <w:rPr>
          <w:i/>
          <w:iCs/>
        </w:rPr>
        <w:t>,</w:t>
      </w:r>
      <w:r>
        <w:t>“</w:t>
      </w:r>
    </w:p>
    <w:p w14:paraId="3A81FE41" w14:textId="31E52684" w:rsidR="00F079C0" w:rsidRDefault="007C4CB3" w:rsidP="007C4CB3">
      <w:pPr>
        <w:pStyle w:val="Odstavecseseznamem"/>
        <w:numPr>
          <w:ilvl w:val="0"/>
          <w:numId w:val="3"/>
        </w:numPr>
        <w:spacing w:before="120"/>
        <w:jc w:val="both"/>
      </w:pPr>
      <w:r>
        <w:t>str. 51 – ohledně možnosti navrhnout úpravu v rámci OZV – znamená to, že občan obce takovou úpravu navrhnout nemůže?</w:t>
      </w:r>
    </w:p>
    <w:p w14:paraId="36D7E260" w14:textId="494D5E58" w:rsidR="00F079C0" w:rsidRPr="00F079C0" w:rsidRDefault="00F079C0" w:rsidP="00F079C0">
      <w:pPr>
        <w:spacing w:before="120"/>
        <w:ind w:firstLine="709"/>
        <w:jc w:val="both"/>
        <w:rPr>
          <w:rFonts w:eastAsia="Times New Roman" w:cs="Times New Roman"/>
        </w:rPr>
      </w:pPr>
      <w:r>
        <w:t>Na některých místech tedy bylo vhodné se více zamyslet nad používáním jednotlivých pojmů</w:t>
      </w:r>
      <w:r w:rsidR="007A531B">
        <w:t xml:space="preserve"> a vycházet spíše z aktuálnějších zdrojů, než jsou např. publikace Zdeňka Koudelky z roku 1998 a 2007.</w:t>
      </w:r>
    </w:p>
    <w:p w14:paraId="37909B40" w14:textId="050C6027" w:rsidR="00B23F47" w:rsidRDefault="00BE5CF3" w:rsidP="007A531B">
      <w:pPr>
        <w:spacing w:before="120"/>
        <w:ind w:firstLine="709"/>
        <w:jc w:val="both"/>
        <w:rPr>
          <w:rFonts w:eastAsia="Times New Roman" w:cs="Times New Roman"/>
        </w:rPr>
      </w:pPr>
      <w:r>
        <w:rPr>
          <w:rFonts w:eastAsia="Times New Roman" w:cs="Times New Roman"/>
        </w:rPr>
        <w:t>Při zpracování práce vycházel</w:t>
      </w:r>
      <w:r w:rsidR="001A4172">
        <w:rPr>
          <w:rFonts w:eastAsia="Times New Roman" w:cs="Times New Roman"/>
        </w:rPr>
        <w:t>a</w:t>
      </w:r>
      <w:r>
        <w:rPr>
          <w:rFonts w:eastAsia="Times New Roman" w:cs="Times New Roman"/>
        </w:rPr>
        <w:t xml:space="preserve"> autor</w:t>
      </w:r>
      <w:r w:rsidR="001A4172">
        <w:rPr>
          <w:rFonts w:eastAsia="Times New Roman" w:cs="Times New Roman"/>
        </w:rPr>
        <w:t>ka</w:t>
      </w:r>
      <w:r>
        <w:rPr>
          <w:rFonts w:eastAsia="Times New Roman" w:cs="Times New Roman"/>
        </w:rPr>
        <w:t xml:space="preserve"> zejména ze znění právních předpisů a dále též z komentářové literatury a dalších odborných zdrojů (zejména články z odborných časopisů či</w:t>
      </w:r>
      <w:r w:rsidR="005F0EEB">
        <w:rPr>
          <w:rFonts w:eastAsia="Times New Roman" w:cs="Times New Roman"/>
        </w:rPr>
        <w:t> </w:t>
      </w:r>
      <w:r>
        <w:rPr>
          <w:rFonts w:eastAsia="Times New Roman" w:cs="Times New Roman"/>
        </w:rPr>
        <w:t>učebnic z oblasti správního práva). Uvedené autor</w:t>
      </w:r>
      <w:r w:rsidR="001A4172">
        <w:rPr>
          <w:rFonts w:eastAsia="Times New Roman" w:cs="Times New Roman"/>
        </w:rPr>
        <w:t>ka</w:t>
      </w:r>
      <w:r>
        <w:rPr>
          <w:rFonts w:eastAsia="Times New Roman" w:cs="Times New Roman"/>
        </w:rPr>
        <w:t xml:space="preserve"> vhodně doplňuje prací se soudní judikaturou. Strukturu využitých pramenů tak lze pro účely diplomové práce považovat </w:t>
      </w:r>
      <w:r w:rsidR="001A4172">
        <w:rPr>
          <w:rFonts w:eastAsia="Times New Roman" w:cs="Times New Roman"/>
        </w:rPr>
        <w:t xml:space="preserve">nepochybně </w:t>
      </w:r>
      <w:r>
        <w:rPr>
          <w:rFonts w:eastAsia="Times New Roman" w:cs="Times New Roman"/>
        </w:rPr>
        <w:t>za dostatečnou. Z hlediska práce s použitými prameny lze konstatovat, že autor</w:t>
      </w:r>
      <w:r w:rsidR="001A4172">
        <w:rPr>
          <w:rFonts w:eastAsia="Times New Roman" w:cs="Times New Roman"/>
        </w:rPr>
        <w:t>ka</w:t>
      </w:r>
      <w:r>
        <w:rPr>
          <w:rFonts w:eastAsia="Times New Roman" w:cs="Times New Roman"/>
        </w:rPr>
        <w:t xml:space="preserve"> prokázal</w:t>
      </w:r>
      <w:r w:rsidR="001A4172">
        <w:rPr>
          <w:rFonts w:eastAsia="Times New Roman" w:cs="Times New Roman"/>
        </w:rPr>
        <w:t>a</w:t>
      </w:r>
      <w:r>
        <w:rPr>
          <w:rFonts w:eastAsia="Times New Roman" w:cs="Times New Roman"/>
        </w:rPr>
        <w:t xml:space="preserve"> schopnost pracovat jak s právními předpisy a judikaturou, tak i s texty odbornými</w:t>
      </w:r>
      <w:r w:rsidR="00F079C0">
        <w:rPr>
          <w:rFonts w:eastAsia="Times New Roman" w:cs="Times New Roman"/>
        </w:rPr>
        <w:t>. Drobná výtka pak směřuje k tomu, že autorka často vychází z odborných zdrojů, přestože citovaná problematika vychází přímo ze zákona – viz např. citace v poznámce pod čarou č. 38</w:t>
      </w:r>
      <w:r w:rsidR="007A531B">
        <w:rPr>
          <w:rFonts w:eastAsia="Times New Roman" w:cs="Times New Roman"/>
        </w:rPr>
        <w:t>, č.</w:t>
      </w:r>
      <w:r w:rsidR="00F079C0">
        <w:rPr>
          <w:rFonts w:eastAsia="Times New Roman" w:cs="Times New Roman"/>
        </w:rPr>
        <w:t xml:space="preserve"> 83</w:t>
      </w:r>
      <w:r w:rsidR="007A531B">
        <w:rPr>
          <w:rFonts w:eastAsia="Times New Roman" w:cs="Times New Roman"/>
        </w:rPr>
        <w:t xml:space="preserve"> či č. 102). Přehlédnout nelze ani to, že učebnice prof. Kopeckého má již své třetí vydání a bylo by vhodné tedy vycházet z něho.</w:t>
      </w:r>
    </w:p>
    <w:p w14:paraId="68ABA6AD" w14:textId="77777777" w:rsidR="007A531B" w:rsidRPr="007A531B" w:rsidRDefault="007A531B" w:rsidP="007A531B">
      <w:pPr>
        <w:spacing w:before="120"/>
        <w:ind w:firstLine="709"/>
        <w:jc w:val="both"/>
        <w:rPr>
          <w:rFonts w:eastAsia="Times New Roman" w:cs="Times New Roman"/>
        </w:rPr>
      </w:pPr>
    </w:p>
    <w:p w14:paraId="3CD50624" w14:textId="77777777" w:rsidR="00425ED8" w:rsidRPr="00425ED8" w:rsidRDefault="00425ED8" w:rsidP="00256DE3">
      <w:pPr>
        <w:spacing w:after="120"/>
        <w:jc w:val="both"/>
        <w:rPr>
          <w:rFonts w:eastAsia="Times New Roman" w:cs="Times New Roman"/>
          <w:b/>
        </w:rPr>
      </w:pPr>
      <w:r w:rsidRPr="00425ED8">
        <w:rPr>
          <w:rFonts w:eastAsia="Times New Roman" w:cs="Times New Roman"/>
          <w:b/>
        </w:rPr>
        <w:t>3. Přínos práce a aktivita studenta během zpracování:</w:t>
      </w:r>
    </w:p>
    <w:p w14:paraId="55CEAF89" w14:textId="77777777" w:rsidR="007C4CB3" w:rsidRDefault="007A531B" w:rsidP="007C4CB3">
      <w:pPr>
        <w:ind w:firstLine="709"/>
        <w:jc w:val="both"/>
        <w:rPr>
          <w:rFonts w:eastAsia="Times New Roman" w:cs="Times New Roman"/>
        </w:rPr>
      </w:pPr>
      <w:r>
        <w:rPr>
          <w:rFonts w:eastAsia="Times New Roman" w:cs="Times New Roman"/>
        </w:rPr>
        <w:t>I přes výše uvedené, z pohledu vedoucího práce spíše drobnosti, j</w:t>
      </w:r>
      <w:r w:rsidR="00E55D01">
        <w:rPr>
          <w:rFonts w:eastAsia="Times New Roman" w:cs="Times New Roman"/>
        </w:rPr>
        <w:t>e na místě konstatovat, že autor</w:t>
      </w:r>
      <w:r w:rsidR="001A4172">
        <w:rPr>
          <w:rFonts w:eastAsia="Times New Roman" w:cs="Times New Roman"/>
        </w:rPr>
        <w:t xml:space="preserve">ka </w:t>
      </w:r>
      <w:r w:rsidR="00E55D01">
        <w:rPr>
          <w:rFonts w:eastAsia="Times New Roman" w:cs="Times New Roman"/>
        </w:rPr>
        <w:t>napsal</w:t>
      </w:r>
      <w:r w:rsidR="001A4172">
        <w:rPr>
          <w:rFonts w:eastAsia="Times New Roman" w:cs="Times New Roman"/>
        </w:rPr>
        <w:t>a</w:t>
      </w:r>
      <w:r w:rsidR="00E55D01">
        <w:rPr>
          <w:rFonts w:eastAsia="Times New Roman" w:cs="Times New Roman"/>
        </w:rPr>
        <w:t xml:space="preserve"> předloženou diplomovou práci s </w:t>
      </w:r>
      <w:r>
        <w:rPr>
          <w:rFonts w:eastAsia="Times New Roman" w:cs="Times New Roman"/>
        </w:rPr>
        <w:t>určitou</w:t>
      </w:r>
      <w:r w:rsidR="00E55D01">
        <w:rPr>
          <w:rFonts w:eastAsia="Times New Roman" w:cs="Times New Roman"/>
        </w:rPr>
        <w:t xml:space="preserve"> pečlivostí, kdy téma</w:t>
      </w:r>
      <w:r w:rsidR="001A4172">
        <w:rPr>
          <w:rFonts w:eastAsia="Times New Roman" w:cs="Times New Roman"/>
        </w:rPr>
        <w:t xml:space="preserve"> pojala </w:t>
      </w:r>
      <w:r w:rsidR="00E55D01">
        <w:rPr>
          <w:rFonts w:eastAsia="Times New Roman" w:cs="Times New Roman"/>
        </w:rPr>
        <w:t>nejen</w:t>
      </w:r>
      <w:r w:rsidR="001A4172">
        <w:rPr>
          <w:rFonts w:eastAsia="Times New Roman" w:cs="Times New Roman"/>
        </w:rPr>
        <w:t xml:space="preserve"> poměrně</w:t>
      </w:r>
      <w:r w:rsidR="00E55D01">
        <w:rPr>
          <w:rFonts w:eastAsia="Times New Roman" w:cs="Times New Roman"/>
        </w:rPr>
        <w:t xml:space="preserve"> komplexním, ale </w:t>
      </w:r>
      <w:r>
        <w:rPr>
          <w:rFonts w:eastAsia="Times New Roman" w:cs="Times New Roman"/>
        </w:rPr>
        <w:t xml:space="preserve">s ohledem na praktickou část </w:t>
      </w:r>
      <w:r w:rsidR="00E55D01">
        <w:rPr>
          <w:rFonts w:eastAsia="Times New Roman" w:cs="Times New Roman"/>
        </w:rPr>
        <w:t xml:space="preserve">i originálním způsobem. </w:t>
      </w:r>
    </w:p>
    <w:p w14:paraId="2DF8CF88" w14:textId="36E3A21B" w:rsidR="00E55D01" w:rsidRDefault="00E55D01" w:rsidP="007C4CB3">
      <w:pPr>
        <w:spacing w:before="120"/>
        <w:ind w:firstLine="709"/>
        <w:jc w:val="both"/>
        <w:rPr>
          <w:rFonts w:eastAsia="Times New Roman" w:cs="Times New Roman"/>
        </w:rPr>
      </w:pPr>
      <w:r>
        <w:rPr>
          <w:rFonts w:eastAsia="Times New Roman" w:cs="Times New Roman"/>
        </w:rPr>
        <w:t>V průběhu zpracování práce využil</w:t>
      </w:r>
      <w:r w:rsidR="001A4172">
        <w:rPr>
          <w:rFonts w:eastAsia="Times New Roman" w:cs="Times New Roman"/>
        </w:rPr>
        <w:t>a diplomantka</w:t>
      </w:r>
      <w:r>
        <w:rPr>
          <w:rFonts w:eastAsia="Times New Roman" w:cs="Times New Roman"/>
        </w:rPr>
        <w:t xml:space="preserve"> možnosti konzultace s vedoucím práce, při zpracování práce však projevil</w:t>
      </w:r>
      <w:r w:rsidR="001A4172">
        <w:rPr>
          <w:rFonts w:eastAsia="Times New Roman" w:cs="Times New Roman"/>
        </w:rPr>
        <w:t>a též</w:t>
      </w:r>
      <w:r>
        <w:rPr>
          <w:rFonts w:eastAsia="Times New Roman" w:cs="Times New Roman"/>
        </w:rPr>
        <w:t xml:space="preserve"> vysokou míru samostatnosti.</w:t>
      </w:r>
    </w:p>
    <w:p w14:paraId="286F4826" w14:textId="77777777" w:rsidR="00774701" w:rsidRPr="00425ED8" w:rsidRDefault="00774701" w:rsidP="005A7D23">
      <w:pPr>
        <w:ind w:firstLine="709"/>
        <w:jc w:val="both"/>
        <w:rPr>
          <w:rFonts w:eastAsia="Times New Roman" w:cs="Times New Roman"/>
        </w:rPr>
      </w:pPr>
    </w:p>
    <w:p w14:paraId="502FA302" w14:textId="77777777" w:rsidR="00425ED8" w:rsidRPr="005A7D23" w:rsidRDefault="00425ED8" w:rsidP="005A7D23">
      <w:pPr>
        <w:spacing w:after="120"/>
        <w:jc w:val="both"/>
        <w:rPr>
          <w:rFonts w:eastAsia="Times New Roman" w:cs="Times New Roman"/>
          <w:b/>
        </w:rPr>
      </w:pPr>
      <w:r w:rsidRPr="00425ED8">
        <w:rPr>
          <w:rFonts w:eastAsia="Times New Roman" w:cs="Times New Roman"/>
          <w:b/>
        </w:rPr>
        <w:t>4. Celkové hodnocení práce:</w:t>
      </w:r>
    </w:p>
    <w:p w14:paraId="329C1E66" w14:textId="77777777" w:rsidR="00E55D01" w:rsidRDefault="00E55D01" w:rsidP="00E55D01">
      <w:pPr>
        <w:spacing w:before="120"/>
        <w:ind w:firstLine="709"/>
        <w:jc w:val="both"/>
        <w:rPr>
          <w:rFonts w:eastAsia="Times New Roman" w:cs="Times New Roman"/>
        </w:rPr>
      </w:pPr>
      <w:r w:rsidRPr="005A7D23">
        <w:rPr>
          <w:rFonts w:eastAsia="Times New Roman" w:cs="Times New Roman"/>
        </w:rPr>
        <w:t>Předložená práce odpovídá</w:t>
      </w:r>
      <w:r>
        <w:rPr>
          <w:rFonts w:eastAsia="Times New Roman" w:cs="Times New Roman"/>
        </w:rPr>
        <w:t xml:space="preserve"> obsahovým i formálním</w:t>
      </w:r>
      <w:r w:rsidRPr="005A7D23">
        <w:rPr>
          <w:rFonts w:eastAsia="Times New Roman" w:cs="Times New Roman"/>
        </w:rPr>
        <w:t xml:space="preserve"> požadavkům kladeným na</w:t>
      </w:r>
      <w:r>
        <w:rPr>
          <w:rFonts w:eastAsia="Times New Roman" w:cs="Times New Roman"/>
        </w:rPr>
        <w:t> </w:t>
      </w:r>
      <w:r w:rsidRPr="005A7D23">
        <w:rPr>
          <w:rFonts w:eastAsia="Times New Roman" w:cs="Times New Roman"/>
        </w:rPr>
        <w:t>diplomové práce, přičemž zadání a cíl práce byly naplněny</w:t>
      </w:r>
      <w:r>
        <w:rPr>
          <w:rFonts w:eastAsia="Times New Roman" w:cs="Times New Roman"/>
        </w:rPr>
        <w:t xml:space="preserve"> a práce byla řádně zpracována. Předloženou diplomovou práci tak lze nepochybně doporučit k obhajobě, přičemž s ohledem na výše uvedené navrhuji její hodnocení, v závislosti na průběhu a úrovni ústní obhajoby, prozatím stupněm „výborně.“</w:t>
      </w:r>
    </w:p>
    <w:p w14:paraId="027F56AB" w14:textId="68C11235" w:rsidR="007364A9" w:rsidRDefault="007364A9" w:rsidP="007364A9">
      <w:pPr>
        <w:spacing w:before="120"/>
        <w:ind w:firstLine="709"/>
        <w:jc w:val="both"/>
        <w:rPr>
          <w:rFonts w:eastAsia="Times New Roman" w:cs="Times New Roman"/>
        </w:rPr>
      </w:pPr>
      <w:r>
        <w:rPr>
          <w:rFonts w:eastAsia="Times New Roman" w:cs="Times New Roman"/>
        </w:rPr>
        <w:t xml:space="preserve">Text práce byl ověřen systémem THESES.CZ, podle něhož je shoda s jiným pramenem </w:t>
      </w:r>
      <w:r w:rsidR="007A531B">
        <w:rPr>
          <w:rFonts w:eastAsia="Times New Roman" w:cs="Times New Roman"/>
        </w:rPr>
        <w:t>4</w:t>
      </w:r>
      <w:r w:rsidR="00991C8F">
        <w:rPr>
          <w:rFonts w:eastAsia="Times New Roman" w:cs="Times New Roman"/>
        </w:rPr>
        <w:t xml:space="preserve"> </w:t>
      </w:r>
      <w:r>
        <w:rPr>
          <w:rFonts w:eastAsia="Times New Roman" w:cs="Times New Roman"/>
        </w:rPr>
        <w:t>%.</w:t>
      </w:r>
    </w:p>
    <w:p w14:paraId="01760A83" w14:textId="77777777" w:rsidR="007C4CB3" w:rsidRDefault="007C4CB3" w:rsidP="007364A9">
      <w:pPr>
        <w:spacing w:before="120"/>
        <w:ind w:firstLine="709"/>
        <w:jc w:val="both"/>
        <w:rPr>
          <w:rFonts w:eastAsia="Times New Roman" w:cs="Times New Roman"/>
        </w:rPr>
      </w:pPr>
    </w:p>
    <w:p w14:paraId="0367F9C2" w14:textId="77777777" w:rsidR="007C4CB3" w:rsidRDefault="007C4CB3" w:rsidP="007364A9">
      <w:pPr>
        <w:spacing w:before="120"/>
        <w:ind w:firstLine="709"/>
        <w:jc w:val="both"/>
        <w:rPr>
          <w:rFonts w:eastAsia="Times New Roman" w:cs="Times New Roman"/>
        </w:rPr>
      </w:pPr>
    </w:p>
    <w:p w14:paraId="634E61A9" w14:textId="77777777" w:rsidR="007C4CB3" w:rsidRDefault="007C4CB3" w:rsidP="007364A9">
      <w:pPr>
        <w:spacing w:before="120"/>
        <w:ind w:firstLine="709"/>
        <w:jc w:val="both"/>
        <w:rPr>
          <w:rFonts w:eastAsia="Times New Roman" w:cs="Times New Roman"/>
        </w:rPr>
      </w:pPr>
    </w:p>
    <w:p w14:paraId="737CBAD2" w14:textId="1D2AE45C" w:rsidR="00235E4A" w:rsidRPr="00425ED8" w:rsidRDefault="00235E4A" w:rsidP="007B5515">
      <w:pPr>
        <w:jc w:val="both"/>
        <w:rPr>
          <w:rFonts w:eastAsia="Times New Roman" w:cs="Times New Roman"/>
        </w:rPr>
      </w:pPr>
    </w:p>
    <w:p w14:paraId="1C4618D0" w14:textId="77777777" w:rsidR="00425ED8" w:rsidRPr="00425ED8" w:rsidRDefault="00425ED8" w:rsidP="00256DE3">
      <w:pPr>
        <w:spacing w:after="120"/>
        <w:jc w:val="both"/>
        <w:rPr>
          <w:rFonts w:eastAsia="Times New Roman" w:cs="Times New Roman"/>
          <w:b/>
        </w:rPr>
      </w:pPr>
      <w:r w:rsidRPr="00425ED8">
        <w:rPr>
          <w:rFonts w:eastAsia="Times New Roman" w:cs="Times New Roman"/>
          <w:b/>
        </w:rPr>
        <w:t>5. Otázky a připomínky doporučené k rozpravě při obhajobě:</w:t>
      </w:r>
    </w:p>
    <w:p w14:paraId="399DAE6A" w14:textId="7138F471" w:rsidR="007C4CB3" w:rsidRDefault="00A01F82" w:rsidP="007C4CB3">
      <w:pPr>
        <w:ind w:firstLine="709"/>
        <w:jc w:val="both"/>
        <w:rPr>
          <w:rFonts w:eastAsia="Times New Roman" w:cs="Times New Roman"/>
        </w:rPr>
      </w:pPr>
      <w:r w:rsidRPr="00A01F82">
        <w:rPr>
          <w:rFonts w:eastAsia="Times New Roman" w:cs="Times New Roman"/>
        </w:rPr>
        <w:t>V rámci ústní obhajoby</w:t>
      </w:r>
      <w:r w:rsidR="00E55D01">
        <w:rPr>
          <w:rFonts w:eastAsia="Times New Roman" w:cs="Times New Roman"/>
        </w:rPr>
        <w:t xml:space="preserve"> </w:t>
      </w:r>
      <w:r w:rsidR="00A945FD">
        <w:rPr>
          <w:rFonts w:eastAsia="Times New Roman" w:cs="Times New Roman"/>
        </w:rPr>
        <w:t xml:space="preserve">navrhuji, aby se autorka podrobněji vyjádřila </w:t>
      </w:r>
      <w:r w:rsidR="007A531B">
        <w:rPr>
          <w:rFonts w:eastAsia="Times New Roman" w:cs="Times New Roman"/>
        </w:rPr>
        <w:t>k závěrům, ke</w:t>
      </w:r>
      <w:r w:rsidR="007C4CB3">
        <w:rPr>
          <w:rFonts w:eastAsia="Times New Roman" w:cs="Times New Roman"/>
        </w:rPr>
        <w:t> </w:t>
      </w:r>
      <w:r w:rsidR="007A531B">
        <w:rPr>
          <w:rFonts w:eastAsia="Times New Roman" w:cs="Times New Roman"/>
        </w:rPr>
        <w:t>kterým dospěla ve své praktické části při porovnání obecně závazných vyhlášek jednotlivých obcí, a dále</w:t>
      </w:r>
      <w:r w:rsidR="007C4CB3">
        <w:rPr>
          <w:rFonts w:eastAsia="Times New Roman" w:cs="Times New Roman"/>
        </w:rPr>
        <w:t xml:space="preserve"> aby se vyjádřila k tomu, jaké jsou dle jejích zjištění nejčastější chyby při tvorbě obecně závazných vyhlášek a jakým způsobem by bylo možné tyto eliminovat?</w:t>
      </w:r>
    </w:p>
    <w:p w14:paraId="11F2A67A" w14:textId="77777777" w:rsidR="00A01F82" w:rsidRDefault="00A01F82" w:rsidP="00003DCD">
      <w:pPr>
        <w:ind w:firstLine="709"/>
        <w:jc w:val="both"/>
        <w:rPr>
          <w:rFonts w:eastAsia="Times New Roman" w:cs="Times New Roman"/>
        </w:rPr>
      </w:pPr>
    </w:p>
    <w:p w14:paraId="4E31E003" w14:textId="7FB8BE39" w:rsidR="00003DCD" w:rsidRPr="00425ED8" w:rsidRDefault="00A01F82" w:rsidP="00003DCD">
      <w:pPr>
        <w:ind w:firstLine="709"/>
        <w:jc w:val="both"/>
        <w:rPr>
          <w:rFonts w:eastAsia="Times New Roman" w:cs="Times New Roman"/>
          <w:b/>
        </w:rPr>
      </w:pPr>
      <w:r>
        <w:rPr>
          <w:rFonts w:eastAsia="Times New Roman" w:cs="Times New Roman"/>
          <w:b/>
        </w:rPr>
        <w:t xml:space="preserve"> </w:t>
      </w:r>
    </w:p>
    <w:p w14:paraId="6A6BB013" w14:textId="519C4913" w:rsidR="00913690" w:rsidRPr="00425ED8" w:rsidRDefault="00F3164A" w:rsidP="00425ED8">
      <w:pPr>
        <w:jc w:val="both"/>
        <w:rPr>
          <w:rFonts w:eastAsia="Times New Roman" w:cs="Times New Roman"/>
          <w:b/>
        </w:rPr>
      </w:pPr>
      <w:r>
        <w:rPr>
          <w:rFonts w:eastAsia="Times New Roman" w:cs="Times New Roman"/>
          <w:b/>
        </w:rPr>
        <w:t xml:space="preserve">V Plzni dne </w:t>
      </w:r>
      <w:r w:rsidR="005C7074">
        <w:rPr>
          <w:rFonts w:eastAsia="Times New Roman" w:cs="Times New Roman"/>
          <w:b/>
        </w:rPr>
        <w:t>3</w:t>
      </w:r>
      <w:r w:rsidR="005F0EEB">
        <w:rPr>
          <w:rFonts w:eastAsia="Times New Roman" w:cs="Times New Roman"/>
          <w:b/>
        </w:rPr>
        <w:t>0</w:t>
      </w:r>
      <w:r w:rsidR="00E55D01">
        <w:rPr>
          <w:rFonts w:eastAsia="Times New Roman" w:cs="Times New Roman"/>
          <w:b/>
        </w:rPr>
        <w:t>.4.</w:t>
      </w:r>
      <w:r w:rsidR="000E37E9">
        <w:rPr>
          <w:rFonts w:eastAsia="Times New Roman" w:cs="Times New Roman"/>
          <w:b/>
        </w:rPr>
        <w:t>202</w:t>
      </w:r>
      <w:r w:rsidR="000B0CED">
        <w:rPr>
          <w:rFonts w:eastAsia="Times New Roman" w:cs="Times New Roman"/>
          <w:b/>
        </w:rPr>
        <w:t>4</w:t>
      </w:r>
    </w:p>
    <w:p w14:paraId="262A6927" w14:textId="77777777" w:rsidR="00003DCD" w:rsidRDefault="00003DCD" w:rsidP="00425ED8">
      <w:pPr>
        <w:jc w:val="both"/>
        <w:rPr>
          <w:rFonts w:eastAsia="Times New Roman" w:cs="Times New Roman"/>
          <w:b/>
        </w:rPr>
      </w:pPr>
    </w:p>
    <w:p w14:paraId="4410B4C4" w14:textId="77777777" w:rsidR="00003DCD" w:rsidRPr="00425ED8" w:rsidRDefault="00003DCD" w:rsidP="00425ED8">
      <w:pPr>
        <w:jc w:val="both"/>
        <w:rPr>
          <w:rFonts w:eastAsia="Times New Roman" w:cs="Times New Roman"/>
          <w:b/>
        </w:rPr>
      </w:pPr>
    </w:p>
    <w:p w14:paraId="4FF39480" w14:textId="03B88DAC" w:rsidR="00425ED8" w:rsidRPr="00425ED8" w:rsidRDefault="00235E4A" w:rsidP="00425ED8">
      <w:pPr>
        <w:ind w:left="4248" w:firstLine="708"/>
        <w:jc w:val="center"/>
        <w:rPr>
          <w:rFonts w:eastAsia="Times New Roman" w:cs="Times New Roman"/>
          <w:b/>
        </w:rPr>
      </w:pPr>
      <w:r>
        <w:rPr>
          <w:rFonts w:eastAsia="Times New Roman" w:cs="Times New Roman"/>
          <w:b/>
        </w:rPr>
        <w:t xml:space="preserve">        </w:t>
      </w:r>
      <w:r w:rsidR="007D580F">
        <w:rPr>
          <w:rFonts w:eastAsia="Times New Roman" w:cs="Times New Roman"/>
          <w:b/>
        </w:rPr>
        <w:t xml:space="preserve">       </w:t>
      </w:r>
      <w:r>
        <w:rPr>
          <w:rFonts w:eastAsia="Times New Roman" w:cs="Times New Roman"/>
          <w:b/>
        </w:rPr>
        <w:t xml:space="preserve">  </w:t>
      </w:r>
      <w:r w:rsidR="007D580F">
        <w:rPr>
          <w:rFonts w:eastAsia="Times New Roman" w:cs="Times New Roman"/>
          <w:b/>
        </w:rPr>
        <w:t xml:space="preserve">JUDr. Jana </w:t>
      </w:r>
      <w:r w:rsidR="005C7074">
        <w:rPr>
          <w:rFonts w:eastAsia="Times New Roman" w:cs="Times New Roman"/>
          <w:b/>
        </w:rPr>
        <w:t>Kot</w:t>
      </w:r>
      <w:r w:rsidR="007D580F">
        <w:rPr>
          <w:rFonts w:eastAsia="Times New Roman" w:cs="Times New Roman"/>
          <w:b/>
        </w:rPr>
        <w:t>ounová</w:t>
      </w:r>
      <w:r w:rsidR="000B1716">
        <w:rPr>
          <w:rFonts w:eastAsia="Times New Roman" w:cs="Times New Roman"/>
          <w:b/>
        </w:rPr>
        <w:t>, Ph.D.</w:t>
      </w:r>
    </w:p>
    <w:p w14:paraId="4E94CF69" w14:textId="4A1F581E" w:rsidR="00E2615B" w:rsidRDefault="00235E4A">
      <w:r>
        <w:t xml:space="preserve">  </w:t>
      </w:r>
    </w:p>
    <w:sectPr w:rsidR="00E261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29C1D" w14:textId="77777777" w:rsidR="0052452D" w:rsidRDefault="0052452D">
      <w:r>
        <w:separator/>
      </w:r>
    </w:p>
  </w:endnote>
  <w:endnote w:type="continuationSeparator" w:id="0">
    <w:p w14:paraId="22EF4AB3" w14:textId="77777777" w:rsidR="0052452D" w:rsidRDefault="0052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A364C" w14:textId="77777777" w:rsidR="009F0A3B" w:rsidRDefault="00F442C4">
    <w:pPr>
      <w:pStyle w:val="Zpat"/>
      <w:jc w:val="center"/>
    </w:pPr>
    <w:r>
      <w:fldChar w:fldCharType="begin"/>
    </w:r>
    <w:r>
      <w:instrText>PAGE   \* MERGEFORMAT</w:instrText>
    </w:r>
    <w:r>
      <w:fldChar w:fldCharType="separate"/>
    </w:r>
    <w:r w:rsidR="00280AA4">
      <w:rPr>
        <w:noProof/>
      </w:rPr>
      <w:t>3</w:t>
    </w:r>
    <w:r>
      <w:fldChar w:fldCharType="end"/>
    </w:r>
  </w:p>
  <w:p w14:paraId="1661FB12" w14:textId="77777777" w:rsidR="009F0A3B" w:rsidRDefault="009F0A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00F21" w14:textId="77777777" w:rsidR="0052452D" w:rsidRDefault="0052452D">
      <w:r>
        <w:separator/>
      </w:r>
    </w:p>
  </w:footnote>
  <w:footnote w:type="continuationSeparator" w:id="0">
    <w:p w14:paraId="5C9D95D9" w14:textId="77777777" w:rsidR="0052452D" w:rsidRDefault="00524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614797"/>
    <w:multiLevelType w:val="hybridMultilevel"/>
    <w:tmpl w:val="A16A04BA"/>
    <w:lvl w:ilvl="0" w:tplc="9A063DA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58057B51"/>
    <w:multiLevelType w:val="hybridMultilevel"/>
    <w:tmpl w:val="D6C6EC08"/>
    <w:lvl w:ilvl="0" w:tplc="4D4E0C0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ECF52AD"/>
    <w:multiLevelType w:val="hybridMultilevel"/>
    <w:tmpl w:val="01AA1646"/>
    <w:lvl w:ilvl="0" w:tplc="000AC36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41955530">
    <w:abstractNumId w:val="2"/>
  </w:num>
  <w:num w:numId="2" w16cid:durableId="28267697">
    <w:abstractNumId w:val="0"/>
  </w:num>
  <w:num w:numId="3" w16cid:durableId="791897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D8"/>
    <w:rsid w:val="00003DCD"/>
    <w:rsid w:val="000476E4"/>
    <w:rsid w:val="0005432A"/>
    <w:rsid w:val="000A1C7B"/>
    <w:rsid w:val="000B0CED"/>
    <w:rsid w:val="000B1716"/>
    <w:rsid w:val="000B6D53"/>
    <w:rsid w:val="000E37E9"/>
    <w:rsid w:val="000F378F"/>
    <w:rsid w:val="001114EC"/>
    <w:rsid w:val="001424FF"/>
    <w:rsid w:val="001630FA"/>
    <w:rsid w:val="0016733B"/>
    <w:rsid w:val="00193F6F"/>
    <w:rsid w:val="001A4172"/>
    <w:rsid w:val="001D10A1"/>
    <w:rsid w:val="00201BA7"/>
    <w:rsid w:val="00235E4A"/>
    <w:rsid w:val="00256DE3"/>
    <w:rsid w:val="00265787"/>
    <w:rsid w:val="00274985"/>
    <w:rsid w:val="00280AA4"/>
    <w:rsid w:val="002C6532"/>
    <w:rsid w:val="002E77B3"/>
    <w:rsid w:val="002F6DE1"/>
    <w:rsid w:val="003862B0"/>
    <w:rsid w:val="003A0B8D"/>
    <w:rsid w:val="003B5585"/>
    <w:rsid w:val="003C72AD"/>
    <w:rsid w:val="003D2B00"/>
    <w:rsid w:val="00412A3F"/>
    <w:rsid w:val="00425ED8"/>
    <w:rsid w:val="00451BB5"/>
    <w:rsid w:val="00461CFD"/>
    <w:rsid w:val="004B0D9B"/>
    <w:rsid w:val="004B5542"/>
    <w:rsid w:val="004B79D1"/>
    <w:rsid w:val="004D644F"/>
    <w:rsid w:val="00502E62"/>
    <w:rsid w:val="00515C0D"/>
    <w:rsid w:val="0052452D"/>
    <w:rsid w:val="00532ABC"/>
    <w:rsid w:val="005533A8"/>
    <w:rsid w:val="00583298"/>
    <w:rsid w:val="005971E6"/>
    <w:rsid w:val="005A7D23"/>
    <w:rsid w:val="005B6819"/>
    <w:rsid w:val="005C7074"/>
    <w:rsid w:val="005F0EEB"/>
    <w:rsid w:val="00612C7E"/>
    <w:rsid w:val="00640E38"/>
    <w:rsid w:val="006513DD"/>
    <w:rsid w:val="00682B17"/>
    <w:rsid w:val="00692110"/>
    <w:rsid w:val="00695AE2"/>
    <w:rsid w:val="006A2CD6"/>
    <w:rsid w:val="006F3506"/>
    <w:rsid w:val="00703832"/>
    <w:rsid w:val="0073582B"/>
    <w:rsid w:val="007364A9"/>
    <w:rsid w:val="00750182"/>
    <w:rsid w:val="00774701"/>
    <w:rsid w:val="0078118D"/>
    <w:rsid w:val="007A531B"/>
    <w:rsid w:val="007B5515"/>
    <w:rsid w:val="007C4CB3"/>
    <w:rsid w:val="007D580F"/>
    <w:rsid w:val="00807E3F"/>
    <w:rsid w:val="0089227F"/>
    <w:rsid w:val="0089533F"/>
    <w:rsid w:val="008B1A79"/>
    <w:rsid w:val="008F696C"/>
    <w:rsid w:val="00911EF2"/>
    <w:rsid w:val="00913690"/>
    <w:rsid w:val="00941678"/>
    <w:rsid w:val="00983F7F"/>
    <w:rsid w:val="00991C8F"/>
    <w:rsid w:val="00997BD3"/>
    <w:rsid w:val="009A365D"/>
    <w:rsid w:val="009D0B3B"/>
    <w:rsid w:val="009E0FA9"/>
    <w:rsid w:val="009F0A3B"/>
    <w:rsid w:val="00A01F82"/>
    <w:rsid w:val="00A0259D"/>
    <w:rsid w:val="00A0537D"/>
    <w:rsid w:val="00A20982"/>
    <w:rsid w:val="00A70E92"/>
    <w:rsid w:val="00A945FD"/>
    <w:rsid w:val="00B079F8"/>
    <w:rsid w:val="00B23F47"/>
    <w:rsid w:val="00B6134F"/>
    <w:rsid w:val="00B6675E"/>
    <w:rsid w:val="00B76894"/>
    <w:rsid w:val="00B90E1F"/>
    <w:rsid w:val="00BB5FB4"/>
    <w:rsid w:val="00BD029B"/>
    <w:rsid w:val="00BD07E8"/>
    <w:rsid w:val="00BD6D3D"/>
    <w:rsid w:val="00BE5CF3"/>
    <w:rsid w:val="00C04224"/>
    <w:rsid w:val="00C25661"/>
    <w:rsid w:val="00C54855"/>
    <w:rsid w:val="00CD7C03"/>
    <w:rsid w:val="00D307F1"/>
    <w:rsid w:val="00D33401"/>
    <w:rsid w:val="00D8174D"/>
    <w:rsid w:val="00D81ECD"/>
    <w:rsid w:val="00D82196"/>
    <w:rsid w:val="00D84B7D"/>
    <w:rsid w:val="00DC0ED1"/>
    <w:rsid w:val="00DE20FA"/>
    <w:rsid w:val="00E2615B"/>
    <w:rsid w:val="00E55D01"/>
    <w:rsid w:val="00E7705D"/>
    <w:rsid w:val="00E91731"/>
    <w:rsid w:val="00ED652A"/>
    <w:rsid w:val="00EF5FF5"/>
    <w:rsid w:val="00F079C0"/>
    <w:rsid w:val="00F1760E"/>
    <w:rsid w:val="00F3164A"/>
    <w:rsid w:val="00F442C4"/>
    <w:rsid w:val="00FE0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C24E"/>
  <w15:docId w15:val="{3A45542B-1565-4F25-9C12-F040BC35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259D"/>
    <w:pPr>
      <w:spacing w:after="0" w:line="240" w:lineRule="auto"/>
    </w:pPr>
    <w:rPr>
      <w:rFonts w:ascii="Times New Roman" w:hAnsi="Times New Roman"/>
      <w:sz w:val="24"/>
      <w:szCs w:val="24"/>
      <w:lang w:eastAsia="cs-CZ"/>
    </w:rPr>
  </w:style>
  <w:style w:type="paragraph" w:styleId="Nadpis1">
    <w:name w:val="heading 1"/>
    <w:basedOn w:val="Normln"/>
    <w:next w:val="Normln"/>
    <w:link w:val="Nadpis1Char"/>
    <w:uiPriority w:val="9"/>
    <w:qFormat/>
    <w:rsid w:val="00A025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259D"/>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A0259D"/>
    <w:pPr>
      <w:ind w:left="720"/>
      <w:contextualSpacing/>
    </w:pPr>
    <w:rPr>
      <w:rFonts w:eastAsia="Times New Roman" w:cs="Times New Roman"/>
    </w:rPr>
  </w:style>
  <w:style w:type="paragraph" w:styleId="Nadpisobsahu">
    <w:name w:val="TOC Heading"/>
    <w:basedOn w:val="Nadpis1"/>
    <w:next w:val="Normln"/>
    <w:uiPriority w:val="39"/>
    <w:semiHidden/>
    <w:unhideWhenUsed/>
    <w:qFormat/>
    <w:rsid w:val="00A0259D"/>
    <w:pPr>
      <w:spacing w:line="276" w:lineRule="auto"/>
      <w:outlineLvl w:val="9"/>
    </w:pPr>
  </w:style>
  <w:style w:type="paragraph" w:styleId="Zpat">
    <w:name w:val="footer"/>
    <w:basedOn w:val="Normln"/>
    <w:link w:val="ZpatChar"/>
    <w:uiPriority w:val="99"/>
    <w:rsid w:val="00425ED8"/>
    <w:pPr>
      <w:tabs>
        <w:tab w:val="center" w:pos="4536"/>
        <w:tab w:val="right" w:pos="9072"/>
      </w:tabs>
    </w:pPr>
    <w:rPr>
      <w:rFonts w:eastAsia="Times New Roman" w:cs="Times New Roman"/>
      <w:sz w:val="20"/>
      <w:szCs w:val="20"/>
    </w:rPr>
  </w:style>
  <w:style w:type="character" w:customStyle="1" w:styleId="ZpatChar">
    <w:name w:val="Zápatí Char"/>
    <w:basedOn w:val="Standardnpsmoodstavce"/>
    <w:link w:val="Zpat"/>
    <w:uiPriority w:val="99"/>
    <w:rsid w:val="00425ED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5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897</Words>
  <Characters>5295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Balounová</dc:creator>
  <cp:lastModifiedBy>Jana Balounová</cp:lastModifiedBy>
  <cp:revision>39</cp:revision>
  <dcterms:created xsi:type="dcterms:W3CDTF">2020-05-28T12:58:00Z</dcterms:created>
  <dcterms:modified xsi:type="dcterms:W3CDTF">2024-04-30T11:45:00Z</dcterms:modified>
</cp:coreProperties>
</file>