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C713" w14:textId="3F6905CE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Posudek vedoucí </w:t>
      </w:r>
      <w:r w:rsidR="0001577A">
        <w:rPr>
          <w:rFonts w:ascii="Arial" w:hAnsi="Arial" w:cs="Arial"/>
          <w:b/>
          <w:sz w:val="28"/>
          <w:szCs w:val="28"/>
        </w:rPr>
        <w:t>bakalářské</w:t>
      </w:r>
      <w:r>
        <w:rPr>
          <w:rFonts w:ascii="Arial" w:hAnsi="Arial" w:cs="Arial"/>
          <w:b/>
          <w:sz w:val="28"/>
          <w:szCs w:val="28"/>
        </w:rPr>
        <w:t xml:space="preserve"> práce</w:t>
      </w:r>
    </w:p>
    <w:p w14:paraId="5F7D0229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9C8CC10" w14:textId="3C386E90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A94D21">
        <w:rPr>
          <w:rFonts w:ascii="Arial" w:hAnsi="Arial" w:cs="Arial"/>
          <w:b/>
          <w:sz w:val="28"/>
          <w:szCs w:val="28"/>
        </w:rPr>
        <w:t>Patrikem</w:t>
      </w:r>
      <w:r w:rsidR="0001577A">
        <w:rPr>
          <w:rFonts w:ascii="Arial" w:hAnsi="Arial" w:cs="Arial"/>
          <w:b/>
          <w:sz w:val="28"/>
          <w:szCs w:val="28"/>
        </w:rPr>
        <w:t xml:space="preserve"> </w:t>
      </w:r>
      <w:r w:rsidR="00A94D21">
        <w:rPr>
          <w:rFonts w:ascii="Arial" w:hAnsi="Arial" w:cs="Arial"/>
          <w:b/>
          <w:sz w:val="28"/>
          <w:szCs w:val="28"/>
        </w:rPr>
        <w:t>Pacovským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0749749B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80B1C47" w14:textId="129D3080" w:rsidR="00BC3507" w:rsidRPr="00BC3507" w:rsidRDefault="00C3334E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A94D21">
        <w:rPr>
          <w:rFonts w:ascii="Arial" w:hAnsi="Arial" w:cs="Arial"/>
          <w:b/>
          <w:sz w:val="28"/>
          <w:szCs w:val="28"/>
        </w:rPr>
        <w:t>Volební kampaň v soudní judikatuře v ČR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4D488B96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31FD161" w14:textId="77777777" w:rsidR="0009106E" w:rsidRDefault="0009106E" w:rsidP="0009106E">
      <w:pPr>
        <w:jc w:val="both"/>
        <w:rPr>
          <w:rFonts w:ascii="Arial" w:hAnsi="Arial" w:cs="Arial"/>
        </w:rPr>
      </w:pPr>
    </w:p>
    <w:p w14:paraId="26B078EA" w14:textId="70774378" w:rsidR="00C3334E" w:rsidRPr="006E1617" w:rsidRDefault="00C3334E" w:rsidP="00C3334E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Posuzovaná </w:t>
      </w:r>
      <w:r w:rsidR="00A94D21">
        <w:rPr>
          <w:rFonts w:ascii="Arial" w:hAnsi="Arial" w:cs="Arial"/>
        </w:rPr>
        <w:t>bakalářská</w:t>
      </w:r>
      <w:r>
        <w:rPr>
          <w:rFonts w:ascii="Arial" w:hAnsi="Arial" w:cs="Arial"/>
        </w:rPr>
        <w:t xml:space="preserve"> práce je věnovaná </w:t>
      </w:r>
      <w:r w:rsidR="00320B69">
        <w:rPr>
          <w:rFonts w:ascii="Arial" w:hAnsi="Arial" w:cs="Arial"/>
        </w:rPr>
        <w:t xml:space="preserve">tématu </w:t>
      </w:r>
      <w:r w:rsidR="00A94D21">
        <w:rPr>
          <w:rFonts w:ascii="Arial" w:hAnsi="Arial" w:cs="Arial"/>
        </w:rPr>
        <w:t xml:space="preserve">volební kampaně, se kterým </w:t>
      </w:r>
      <w:r w:rsidR="00667B23">
        <w:rPr>
          <w:rFonts w:ascii="Arial" w:hAnsi="Arial" w:cs="Arial"/>
        </w:rPr>
        <w:t>se pojí poměrně bohatá judikatura, rovněž je tento institut předmětem pozornosti legislativních úprav.</w:t>
      </w:r>
    </w:p>
    <w:p w14:paraId="6B0FB517" w14:textId="77777777" w:rsidR="006E1617" w:rsidRPr="006E1617" w:rsidRDefault="006E1617" w:rsidP="00C3334E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B1B7A74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48359EFD" w14:textId="037D1DE7" w:rsidR="004A56EB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Posuzovaná </w:t>
      </w:r>
      <w:r w:rsidR="00BE47BA">
        <w:rPr>
          <w:rFonts w:ascii="Arial" w:hAnsi="Arial" w:cs="Arial"/>
        </w:rPr>
        <w:t>bakalářská</w:t>
      </w:r>
      <w:r w:rsidR="00CC3F61">
        <w:rPr>
          <w:rFonts w:ascii="Arial" w:hAnsi="Arial" w:cs="Arial"/>
        </w:rPr>
        <w:t xml:space="preserve"> práce je rozdělena do </w:t>
      </w:r>
      <w:r w:rsidR="004D5859">
        <w:rPr>
          <w:rFonts w:ascii="Arial" w:hAnsi="Arial" w:cs="Arial"/>
        </w:rPr>
        <w:t>šesti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</w:t>
      </w:r>
      <w:r w:rsidR="009E4D67">
        <w:rPr>
          <w:rFonts w:ascii="Arial" w:hAnsi="Arial" w:cs="Arial"/>
        </w:rPr>
        <w:t xml:space="preserve"> </w:t>
      </w:r>
      <w:r w:rsidR="004A56EB">
        <w:rPr>
          <w:rFonts w:ascii="Arial" w:hAnsi="Arial" w:cs="Arial"/>
        </w:rPr>
        <w:t>obsah</w:t>
      </w:r>
      <w:r w:rsidR="00BE47BA"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</w:t>
      </w:r>
      <w:r w:rsidR="009E4D67">
        <w:rPr>
          <w:rFonts w:ascii="Arial" w:hAnsi="Arial" w:cs="Arial"/>
        </w:rPr>
        <w:t>anglicky</w:t>
      </w:r>
      <w:r w:rsidR="00B06398">
        <w:rPr>
          <w:rFonts w:ascii="Arial" w:hAnsi="Arial" w:cs="Arial"/>
        </w:rPr>
        <w:t xml:space="preserve"> </w:t>
      </w:r>
      <w:r w:rsidR="009E4D67">
        <w:rPr>
          <w:rFonts w:ascii="Arial" w:hAnsi="Arial" w:cs="Arial"/>
        </w:rPr>
        <w:t>psané resumé</w:t>
      </w:r>
      <w:r w:rsidR="00175CEF"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>závěr</w:t>
      </w:r>
      <w:r>
        <w:rPr>
          <w:rFonts w:ascii="Arial" w:hAnsi="Arial" w:cs="Arial"/>
        </w:rPr>
        <w:t xml:space="preserve">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</w:t>
      </w:r>
      <w:r w:rsidR="00BE47BA">
        <w:rPr>
          <w:rFonts w:ascii="Arial" w:hAnsi="Arial" w:cs="Arial"/>
        </w:rPr>
        <w:t>použitých zdrojů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75CEF">
        <w:rPr>
          <w:rFonts w:ascii="Arial" w:hAnsi="Arial" w:cs="Arial"/>
        </w:rPr>
        <w:t xml:space="preserve">Čítá celkem </w:t>
      </w:r>
      <w:r w:rsidR="00667B23">
        <w:rPr>
          <w:rFonts w:ascii="Arial" w:hAnsi="Arial" w:cs="Arial"/>
        </w:rPr>
        <w:t>61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 splňuje</w:t>
      </w:r>
      <w:r w:rsidR="00D8401A">
        <w:rPr>
          <w:rFonts w:ascii="Arial" w:hAnsi="Arial" w:cs="Arial"/>
        </w:rPr>
        <w:t xml:space="preserve"> požadavky na </w:t>
      </w:r>
      <w:r w:rsidR="00BE47BA">
        <w:rPr>
          <w:rFonts w:ascii="Arial" w:hAnsi="Arial" w:cs="Arial"/>
        </w:rPr>
        <w:t>bakalářské</w:t>
      </w:r>
      <w:r w:rsidR="00236391">
        <w:rPr>
          <w:rFonts w:ascii="Arial" w:hAnsi="Arial" w:cs="Arial"/>
        </w:rPr>
        <w:t xml:space="preserve">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>Z formálního hlediska nevy</w:t>
      </w:r>
      <w:r w:rsidR="00D8401A">
        <w:rPr>
          <w:rFonts w:ascii="Arial" w:hAnsi="Arial" w:cs="Arial"/>
        </w:rPr>
        <w:t>kazuje pr</w:t>
      </w:r>
      <w:r w:rsidR="00EB0C5A">
        <w:rPr>
          <w:rFonts w:ascii="Arial" w:hAnsi="Arial" w:cs="Arial"/>
        </w:rPr>
        <w:t>áce nedostatky.</w:t>
      </w:r>
    </w:p>
    <w:p w14:paraId="4C212A7F" w14:textId="2AC0C721" w:rsidR="009A0CF1" w:rsidRDefault="009A0C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stylistické </w:t>
      </w:r>
      <w:r w:rsidR="00BE47BA">
        <w:rPr>
          <w:rFonts w:ascii="Arial" w:hAnsi="Arial" w:cs="Arial"/>
        </w:rPr>
        <w:t xml:space="preserve">a jazykové </w:t>
      </w:r>
      <w:r w:rsidR="003E1E3C">
        <w:rPr>
          <w:rFonts w:ascii="Arial" w:hAnsi="Arial" w:cs="Arial"/>
        </w:rPr>
        <w:t>stránce dosahuje práce velmi dobré úrovně</w:t>
      </w:r>
      <w:r w:rsidR="00B06398">
        <w:rPr>
          <w:rFonts w:ascii="Arial" w:hAnsi="Arial" w:cs="Arial"/>
        </w:rPr>
        <w:t>.</w:t>
      </w:r>
    </w:p>
    <w:p w14:paraId="13542E41" w14:textId="77777777" w:rsidR="006E1617" w:rsidRDefault="006E1617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2F683B21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4CB13788" w14:textId="177F9500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 xml:space="preserve">u. </w:t>
      </w:r>
      <w:r w:rsidR="00BE47BA">
        <w:rPr>
          <w:rFonts w:ascii="Arial" w:hAnsi="Arial" w:cs="Arial"/>
        </w:rPr>
        <w:t>Bakalant</w:t>
      </w:r>
      <w:r w:rsidR="00AE4E5D">
        <w:rPr>
          <w:rFonts w:ascii="Arial" w:hAnsi="Arial" w:cs="Arial"/>
        </w:rPr>
        <w:t xml:space="preserve"> k tématu přistoupil </w:t>
      </w:r>
      <w:r w:rsidR="00BE47BA">
        <w:rPr>
          <w:rFonts w:ascii="Arial" w:hAnsi="Arial" w:cs="Arial"/>
        </w:rPr>
        <w:t>logicky, systematicky a pečlivě</w:t>
      </w:r>
      <w:r w:rsidR="009814FB">
        <w:rPr>
          <w:rFonts w:ascii="Arial" w:hAnsi="Arial" w:cs="Arial"/>
        </w:rPr>
        <w:t>, přičemž jeho klíčovým institutům věnoval</w:t>
      </w:r>
      <w:r w:rsidR="00037E70">
        <w:rPr>
          <w:rFonts w:ascii="Arial" w:hAnsi="Arial" w:cs="Arial"/>
        </w:rPr>
        <w:t xml:space="preserve"> </w:t>
      </w:r>
      <w:r w:rsidR="009814FB">
        <w:rPr>
          <w:rFonts w:ascii="Arial" w:hAnsi="Arial" w:cs="Arial"/>
        </w:rPr>
        <w:t xml:space="preserve">patřičnou pozornost. </w:t>
      </w:r>
      <w:r w:rsidR="001D706A">
        <w:rPr>
          <w:rFonts w:ascii="Arial" w:hAnsi="Arial" w:cs="Arial"/>
        </w:rPr>
        <w:t>Pozitivně hodnotím, že do práce zapojil i své úvahy a myšlenky, které promítl do návrhů de lege ferenda.</w:t>
      </w:r>
    </w:p>
    <w:p w14:paraId="45AC2E61" w14:textId="1F7F339B" w:rsidR="00AB6350" w:rsidRDefault="00427208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úvodu práce podotýkám, že obsahuje všechny požadované náležitosti, </w:t>
      </w:r>
      <w:r w:rsidR="001D706A">
        <w:rPr>
          <w:rFonts w:ascii="Arial" w:hAnsi="Arial" w:cs="Arial"/>
        </w:rPr>
        <w:t>bakalant</w:t>
      </w:r>
      <w:r>
        <w:rPr>
          <w:rFonts w:ascii="Arial" w:hAnsi="Arial" w:cs="Arial"/>
        </w:rPr>
        <w:t xml:space="preserve"> v něm stanovuje cíle práce, metodiku a zdroje, které hodlá v</w:t>
      </w:r>
      <w:r w:rsidR="00100E6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užívat. Dále nastiňuje </w:t>
      </w:r>
      <w:r w:rsidR="00100E63">
        <w:rPr>
          <w:rFonts w:ascii="Arial" w:hAnsi="Arial" w:cs="Arial"/>
        </w:rPr>
        <w:t>obsah jednotlivých kapitol</w:t>
      </w:r>
      <w:r w:rsidR="006E5E97">
        <w:rPr>
          <w:rFonts w:ascii="Arial" w:hAnsi="Arial" w:cs="Arial"/>
        </w:rPr>
        <w:t>.</w:t>
      </w:r>
      <w:r w:rsidR="00037E70">
        <w:rPr>
          <w:rFonts w:ascii="Arial" w:hAnsi="Arial" w:cs="Arial"/>
        </w:rPr>
        <w:t xml:space="preserve"> Cíle práce mohly být nastaveny náročněji</w:t>
      </w:r>
      <w:r w:rsidR="009421D7">
        <w:rPr>
          <w:rFonts w:ascii="Arial" w:hAnsi="Arial" w:cs="Arial"/>
        </w:rPr>
        <w:t>, práce by neměla být informací pro čtenáře, nýbrž základním vědeckým počinem, ve kterém bakalant představí svou schopnost autorsky pracovat</w:t>
      </w:r>
      <w:r w:rsidR="00037E70">
        <w:rPr>
          <w:rFonts w:ascii="Arial" w:hAnsi="Arial" w:cs="Arial"/>
        </w:rPr>
        <w:t>.</w:t>
      </w:r>
    </w:p>
    <w:p w14:paraId="63279B63" w14:textId="4FBC47CB" w:rsidR="00F577CD" w:rsidRDefault="001D706A" w:rsidP="004D5859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bakalant postupuje vcelku logicky a systematicky, neboť postupně mapuje volební kampaň jako pojem, dále se zaobírá jejími subjekty a ústavně-právním zakotvením. </w:t>
      </w:r>
      <w:r w:rsidR="00876E23">
        <w:rPr>
          <w:rFonts w:ascii="Arial" w:hAnsi="Arial" w:cs="Arial"/>
        </w:rPr>
        <w:t>Zvláštním předmětem jeho zájmu je rozbor financování volební kampaně. Práce vyúsťuje v návrhy de lege ferenda</w:t>
      </w:r>
      <w:r w:rsidR="004D5859">
        <w:rPr>
          <w:rFonts w:ascii="Arial" w:hAnsi="Arial" w:cs="Arial"/>
        </w:rPr>
        <w:t xml:space="preserve"> a nástin změn v právní úpravě</w:t>
      </w:r>
      <w:r w:rsidR="00876E23">
        <w:rPr>
          <w:rFonts w:ascii="Arial" w:hAnsi="Arial" w:cs="Arial"/>
        </w:rPr>
        <w:t xml:space="preserve">. To vše na </w:t>
      </w:r>
      <w:r w:rsidR="00876E23">
        <w:rPr>
          <w:rFonts w:ascii="Arial" w:hAnsi="Arial" w:cs="Arial"/>
        </w:rPr>
        <w:lastRenderedPageBreak/>
        <w:t>pozadí soudní judikatury, kterou v průběhu práce příhodně používá. V závěru práce bakalant shrnuje poznatky, ke kterým v průběhu zpracování dospěl</w:t>
      </w:r>
      <w:r w:rsidR="004D5859">
        <w:rPr>
          <w:rFonts w:ascii="Arial" w:hAnsi="Arial" w:cs="Arial"/>
        </w:rPr>
        <w:t xml:space="preserve">. </w:t>
      </w:r>
    </w:p>
    <w:p w14:paraId="01810028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CEFB42E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22E024A7" w14:textId="6DEB796D" w:rsidR="00555764" w:rsidRDefault="00C86031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1B7558">
        <w:rPr>
          <w:rFonts w:ascii="Arial" w:hAnsi="Arial" w:cs="Arial"/>
        </w:rPr>
        <w:t xml:space="preserve">poměrně </w:t>
      </w:r>
      <w:r>
        <w:rPr>
          <w:rFonts w:ascii="Arial" w:hAnsi="Arial" w:cs="Arial"/>
        </w:rPr>
        <w:t>obsáhlý</w:t>
      </w:r>
      <w:r w:rsidR="008E4D2B">
        <w:rPr>
          <w:rFonts w:ascii="Arial" w:hAnsi="Arial" w:cs="Arial"/>
        </w:rPr>
        <w:t xml:space="preserve"> fond pramenů, </w:t>
      </w:r>
      <w:r w:rsidR="004D5859">
        <w:rPr>
          <w:rFonts w:ascii="Arial" w:hAnsi="Arial" w:cs="Arial"/>
        </w:rPr>
        <w:t>ovšem silnější postavení v jejich rámci měla mít odborná literatura, monografie a komentáře, nikoliv zdroje internetové.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>Na použité zdroje p</w:t>
      </w:r>
      <w:r w:rsidR="00CB1AA7">
        <w:rPr>
          <w:rFonts w:ascii="Arial" w:hAnsi="Arial" w:cs="Arial"/>
        </w:rPr>
        <w:t>růběžně odkazuje</w:t>
      </w:r>
      <w:r w:rsidR="008E4D2B">
        <w:rPr>
          <w:rFonts w:ascii="Arial" w:hAnsi="Arial" w:cs="Arial"/>
        </w:rPr>
        <w:t>.</w:t>
      </w:r>
      <w:r w:rsidR="00CB1AA7">
        <w:rPr>
          <w:rFonts w:ascii="Arial" w:hAnsi="Arial" w:cs="Arial"/>
        </w:rPr>
        <w:t xml:space="preserve"> </w:t>
      </w:r>
      <w:r w:rsidR="00937ECD">
        <w:rPr>
          <w:rFonts w:ascii="Arial" w:hAnsi="Arial" w:cs="Arial"/>
        </w:rPr>
        <w:t>Celkově</w:t>
      </w:r>
      <w:r w:rsidR="00555764">
        <w:rPr>
          <w:rFonts w:ascii="Arial" w:hAnsi="Arial" w:cs="Arial"/>
        </w:rPr>
        <w:t xml:space="preserve"> hodnotím, že </w:t>
      </w:r>
      <w:r w:rsidR="00FF2A7B">
        <w:rPr>
          <w:rFonts w:ascii="Arial" w:hAnsi="Arial" w:cs="Arial"/>
        </w:rPr>
        <w:t>bakalant</w:t>
      </w:r>
      <w:r w:rsidR="00555764">
        <w:rPr>
          <w:rFonts w:ascii="Arial" w:hAnsi="Arial" w:cs="Arial"/>
        </w:rPr>
        <w:t xml:space="preserve"> úspěšně prokázal svou schopnost se zdroji</w:t>
      </w:r>
      <w:r w:rsidR="00CB1AA7">
        <w:rPr>
          <w:rFonts w:ascii="Arial" w:hAnsi="Arial" w:cs="Arial"/>
        </w:rPr>
        <w:t xml:space="preserve"> pracovat</w:t>
      </w:r>
      <w:r w:rsidR="00555764">
        <w:rPr>
          <w:rFonts w:ascii="Arial" w:hAnsi="Arial" w:cs="Arial"/>
        </w:rPr>
        <w:t>.</w:t>
      </w:r>
    </w:p>
    <w:p w14:paraId="0BEAD4BE" w14:textId="745CA154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B54FA8">
        <w:rPr>
          <w:rFonts w:ascii="Arial" w:hAnsi="Arial" w:cs="Arial"/>
        </w:rPr>
        <w:t>šesti</w:t>
      </w:r>
      <w:r w:rsidR="00793B91">
        <w:rPr>
          <w:rFonts w:ascii="Arial" w:hAnsi="Arial" w:cs="Arial"/>
        </w:rPr>
        <w:t>procentní</w:t>
      </w:r>
      <w:r w:rsidR="00937ECD">
        <w:rPr>
          <w:rFonts w:ascii="Arial" w:hAnsi="Arial" w:cs="Arial"/>
        </w:rPr>
        <w:t xml:space="preserve"> shodu</w:t>
      </w:r>
      <w:r w:rsidR="002A61DE">
        <w:rPr>
          <w:rFonts w:ascii="Arial" w:hAnsi="Arial" w:cs="Arial"/>
        </w:rPr>
        <w:t>.</w:t>
      </w:r>
    </w:p>
    <w:p w14:paraId="4AF027BB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86CA3A4" w14:textId="7F6E6E37" w:rsidR="00784DB3" w:rsidRDefault="00F352BD" w:rsidP="00784DB3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86031">
        <w:rPr>
          <w:rFonts w:ascii="Arial" w:hAnsi="Arial" w:cs="Arial"/>
        </w:rPr>
        <w:t xml:space="preserve">obhajoby doporučuji </w:t>
      </w:r>
      <w:r w:rsidR="00FF2A7B">
        <w:rPr>
          <w:rFonts w:ascii="Arial" w:hAnsi="Arial" w:cs="Arial"/>
        </w:rPr>
        <w:t>bakalant</w:t>
      </w:r>
      <w:r w:rsidR="004D5859">
        <w:rPr>
          <w:rFonts w:ascii="Arial" w:hAnsi="Arial" w:cs="Arial"/>
        </w:rPr>
        <w:t>ovi</w:t>
      </w:r>
      <w:r>
        <w:rPr>
          <w:rFonts w:ascii="Arial" w:hAnsi="Arial" w:cs="Arial"/>
        </w:rPr>
        <w:t>, aby se zaměřil na následující:</w:t>
      </w:r>
    </w:p>
    <w:p w14:paraId="6A618660" w14:textId="3CF048E9" w:rsidR="0087492B" w:rsidRDefault="004D5859" w:rsidP="001B755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bakalant hodnotí dosavadní činnost Úřadu pro dohled nad hospodařením </w:t>
      </w:r>
      <w:r w:rsidR="001A2CA6">
        <w:rPr>
          <w:rFonts w:ascii="Arial" w:hAnsi="Arial" w:cs="Arial"/>
        </w:rPr>
        <w:t>politických stran</w:t>
      </w:r>
      <w:r w:rsidR="006E1617">
        <w:rPr>
          <w:rFonts w:ascii="Arial" w:hAnsi="Arial" w:cs="Arial"/>
        </w:rPr>
        <w:t>?</w:t>
      </w:r>
    </w:p>
    <w:p w14:paraId="1BABB557" w14:textId="4436D7FE" w:rsidR="00784DB3" w:rsidRDefault="001A2CA6" w:rsidP="001B755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Domnívá se bakalant, že zavedení institutů jako je transparentní volební účet a strop pro náklady volební kampaně přineslo kýžené efekty směřující k transparentnosti volební kampaně?</w:t>
      </w:r>
    </w:p>
    <w:p w14:paraId="019A4775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6B3F2AD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10719FE8" w14:textId="204B53AA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0B75D7">
        <w:rPr>
          <w:rFonts w:ascii="Arial" w:hAnsi="Arial" w:cs="Arial"/>
        </w:rPr>
        <w:t>bakalářskou</w:t>
      </w:r>
      <w:r w:rsidR="00FB6237">
        <w:rPr>
          <w:rFonts w:ascii="Arial" w:hAnsi="Arial" w:cs="Arial"/>
        </w:rPr>
        <w:t xml:space="preserve"> práci považuji za</w:t>
      </w:r>
      <w:r w:rsidR="000B75D7">
        <w:rPr>
          <w:rFonts w:ascii="Arial" w:hAnsi="Arial" w:cs="Arial"/>
        </w:rPr>
        <w:t xml:space="preserve"> komplexní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FB6237">
        <w:rPr>
          <w:rFonts w:ascii="Arial" w:hAnsi="Arial" w:cs="Arial"/>
        </w:rPr>
        <w:t xml:space="preserve"> </w:t>
      </w:r>
      <w:r w:rsidR="000B75D7">
        <w:rPr>
          <w:rFonts w:ascii="Arial" w:hAnsi="Arial" w:cs="Arial"/>
        </w:rPr>
        <w:t>Bakalant</w:t>
      </w:r>
      <w:r w:rsidR="00FB6237">
        <w:rPr>
          <w:rFonts w:ascii="Arial" w:hAnsi="Arial" w:cs="Arial"/>
        </w:rPr>
        <w:t xml:space="preserve"> </w:t>
      </w:r>
      <w:r w:rsidR="009E1A88">
        <w:rPr>
          <w:rFonts w:ascii="Arial" w:hAnsi="Arial" w:cs="Arial"/>
        </w:rPr>
        <w:t>v</w:t>
      </w:r>
      <w:r w:rsidR="001A2CA6">
        <w:rPr>
          <w:rFonts w:ascii="Arial" w:hAnsi="Arial" w:cs="Arial"/>
        </w:rPr>
        <w:t> ní odpovídajícím způsobem použil soudní judikaturu. Připomínky mám k využití zdrojů, které jsem uvedla výše.</w:t>
      </w:r>
    </w:p>
    <w:p w14:paraId="72104A14" w14:textId="7DC32B52" w:rsidR="00874B44" w:rsidRDefault="0047136C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Bakalářskou</w:t>
      </w:r>
      <w:r w:rsidR="00874B44">
        <w:rPr>
          <w:rFonts w:ascii="Arial" w:hAnsi="Arial" w:cs="Arial"/>
        </w:rPr>
        <w:t xml:space="preserve"> práci </w:t>
      </w:r>
      <w:r w:rsidR="008356A9">
        <w:rPr>
          <w:rFonts w:ascii="Arial" w:hAnsi="Arial" w:cs="Arial"/>
        </w:rPr>
        <w:t xml:space="preserve">tedy </w:t>
      </w:r>
      <w:r w:rsidR="00874B44"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874B44">
        <w:rPr>
          <w:rFonts w:ascii="Arial" w:hAnsi="Arial" w:cs="Arial"/>
        </w:rPr>
        <w:t xml:space="preserve"> ji </w:t>
      </w:r>
      <w:r w:rsidR="00491BCF">
        <w:rPr>
          <w:rFonts w:ascii="Arial" w:hAnsi="Arial" w:cs="Arial"/>
        </w:rPr>
        <w:t xml:space="preserve">jednoznačně </w:t>
      </w:r>
      <w:r w:rsidR="00874B44" w:rsidRPr="00A86290">
        <w:rPr>
          <w:rFonts w:ascii="Arial" w:hAnsi="Arial" w:cs="Arial"/>
          <w:b/>
        </w:rPr>
        <w:t>doporučuji 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9E1A88">
        <w:rPr>
          <w:rFonts w:ascii="Arial" w:hAnsi="Arial" w:cs="Arial"/>
        </w:rPr>
        <w:t xml:space="preserve">mezi </w:t>
      </w:r>
      <w:r w:rsidR="00351139">
        <w:rPr>
          <w:rFonts w:ascii="Arial" w:hAnsi="Arial" w:cs="Arial"/>
        </w:rPr>
        <w:t>výborně</w:t>
      </w:r>
      <w:r w:rsidR="009E1A88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5F6CBB3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17F17FF3" w14:textId="22162D58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B6237">
        <w:rPr>
          <w:rFonts w:ascii="Arial" w:hAnsi="Arial" w:cs="Arial"/>
        </w:rPr>
        <w:t xml:space="preserve"> dne </w:t>
      </w:r>
      <w:r w:rsidR="001A2CA6">
        <w:rPr>
          <w:rFonts w:ascii="Arial" w:hAnsi="Arial" w:cs="Arial"/>
        </w:rPr>
        <w:t>30</w:t>
      </w:r>
      <w:r w:rsidR="00FB6237">
        <w:rPr>
          <w:rFonts w:ascii="Arial" w:hAnsi="Arial" w:cs="Arial"/>
        </w:rPr>
        <w:t>. 4. 20</w:t>
      </w:r>
      <w:r w:rsidR="002035F8">
        <w:rPr>
          <w:rFonts w:ascii="Arial" w:hAnsi="Arial" w:cs="Arial"/>
        </w:rPr>
        <w:t>2</w:t>
      </w:r>
      <w:r w:rsidR="0047136C">
        <w:rPr>
          <w:rFonts w:ascii="Arial" w:hAnsi="Arial" w:cs="Arial"/>
        </w:rPr>
        <w:t>4</w:t>
      </w:r>
    </w:p>
    <w:p w14:paraId="393D7764" w14:textId="2A26032C" w:rsidR="005C78D7" w:rsidRDefault="00EC395C" w:rsidP="005F455C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  <w:bookmarkStart w:id="0" w:name="_GoBack"/>
      <w:bookmarkEnd w:id="0"/>
    </w:p>
    <w:sectPr w:rsidR="005C7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79EE8" w14:textId="77777777" w:rsidR="00617335" w:rsidRDefault="00617335">
      <w:r>
        <w:separator/>
      </w:r>
    </w:p>
  </w:endnote>
  <w:endnote w:type="continuationSeparator" w:id="0">
    <w:p w14:paraId="076D8237" w14:textId="77777777" w:rsidR="00617335" w:rsidRDefault="0061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6E8B" w14:textId="4C63619C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Pr="00C76C7C">
      <w:rPr>
        <w:rFonts w:ascii="Arial" w:hAnsi="Arial" w:cs="Arial"/>
        <w:sz w:val="20"/>
        <w:szCs w:val="20"/>
      </w:rPr>
      <w:fldChar w:fldCharType="separate"/>
    </w:r>
    <w:r w:rsidR="005F455C">
      <w:rPr>
        <w:rFonts w:ascii="Arial" w:hAnsi="Arial" w:cs="Arial"/>
        <w:noProof/>
        <w:sz w:val="20"/>
        <w:szCs w:val="20"/>
      </w:rPr>
      <w:t>2</w:t>
    </w:r>
    <w:r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4A771" w14:textId="77777777" w:rsidR="00617335" w:rsidRDefault="00617335">
      <w:r>
        <w:separator/>
      </w:r>
    </w:p>
  </w:footnote>
  <w:footnote w:type="continuationSeparator" w:id="0">
    <w:p w14:paraId="16DA153D" w14:textId="77777777" w:rsidR="00617335" w:rsidRDefault="0061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1577A"/>
    <w:rsid w:val="00037BFF"/>
    <w:rsid w:val="00037E70"/>
    <w:rsid w:val="00060C08"/>
    <w:rsid w:val="0009106E"/>
    <w:rsid w:val="000A4363"/>
    <w:rsid w:val="000B75D7"/>
    <w:rsid w:val="000D42F4"/>
    <w:rsid w:val="000E4C3D"/>
    <w:rsid w:val="000E7321"/>
    <w:rsid w:val="00100E63"/>
    <w:rsid w:val="00113B53"/>
    <w:rsid w:val="0011473D"/>
    <w:rsid w:val="00117351"/>
    <w:rsid w:val="001450C6"/>
    <w:rsid w:val="001638C6"/>
    <w:rsid w:val="001642D4"/>
    <w:rsid w:val="001744F1"/>
    <w:rsid w:val="00175CEF"/>
    <w:rsid w:val="001A2CA6"/>
    <w:rsid w:val="001B6DA3"/>
    <w:rsid w:val="001B7558"/>
    <w:rsid w:val="001D4B97"/>
    <w:rsid w:val="001D706A"/>
    <w:rsid w:val="001E7138"/>
    <w:rsid w:val="002035F8"/>
    <w:rsid w:val="00236391"/>
    <w:rsid w:val="00244BF3"/>
    <w:rsid w:val="00245D4D"/>
    <w:rsid w:val="00283876"/>
    <w:rsid w:val="00290643"/>
    <w:rsid w:val="00291A9E"/>
    <w:rsid w:val="002A61DE"/>
    <w:rsid w:val="002B04D2"/>
    <w:rsid w:val="002C7CB3"/>
    <w:rsid w:val="002E6514"/>
    <w:rsid w:val="002F2FC2"/>
    <w:rsid w:val="00314923"/>
    <w:rsid w:val="00320B69"/>
    <w:rsid w:val="00324D4F"/>
    <w:rsid w:val="00351139"/>
    <w:rsid w:val="00351610"/>
    <w:rsid w:val="00364DE3"/>
    <w:rsid w:val="003938BB"/>
    <w:rsid w:val="003E1E3C"/>
    <w:rsid w:val="00403DC6"/>
    <w:rsid w:val="00404B69"/>
    <w:rsid w:val="00427208"/>
    <w:rsid w:val="00453728"/>
    <w:rsid w:val="0047136C"/>
    <w:rsid w:val="0047439C"/>
    <w:rsid w:val="00482056"/>
    <w:rsid w:val="00485AF4"/>
    <w:rsid w:val="00491BCF"/>
    <w:rsid w:val="00496158"/>
    <w:rsid w:val="004A244A"/>
    <w:rsid w:val="004A56EB"/>
    <w:rsid w:val="004A66CB"/>
    <w:rsid w:val="004D5859"/>
    <w:rsid w:val="004E225C"/>
    <w:rsid w:val="00536B43"/>
    <w:rsid w:val="00555764"/>
    <w:rsid w:val="00560857"/>
    <w:rsid w:val="00576B86"/>
    <w:rsid w:val="0057785A"/>
    <w:rsid w:val="005A58A3"/>
    <w:rsid w:val="005B6AFC"/>
    <w:rsid w:val="005C78D7"/>
    <w:rsid w:val="005D70E4"/>
    <w:rsid w:val="005D7717"/>
    <w:rsid w:val="005F455C"/>
    <w:rsid w:val="00605CCD"/>
    <w:rsid w:val="00617335"/>
    <w:rsid w:val="00624D8C"/>
    <w:rsid w:val="00667B23"/>
    <w:rsid w:val="006B781D"/>
    <w:rsid w:val="006C45E5"/>
    <w:rsid w:val="006E1617"/>
    <w:rsid w:val="006E27A9"/>
    <w:rsid w:val="006E3E5E"/>
    <w:rsid w:val="006E5E97"/>
    <w:rsid w:val="00745F90"/>
    <w:rsid w:val="00754799"/>
    <w:rsid w:val="00767259"/>
    <w:rsid w:val="007676A5"/>
    <w:rsid w:val="007723EB"/>
    <w:rsid w:val="00784DB3"/>
    <w:rsid w:val="00793B91"/>
    <w:rsid w:val="007D682B"/>
    <w:rsid w:val="007E3DCA"/>
    <w:rsid w:val="00805A5B"/>
    <w:rsid w:val="008356A9"/>
    <w:rsid w:val="0087492B"/>
    <w:rsid w:val="00874B44"/>
    <w:rsid w:val="00876E23"/>
    <w:rsid w:val="00886C34"/>
    <w:rsid w:val="00894A83"/>
    <w:rsid w:val="008B659A"/>
    <w:rsid w:val="008C4149"/>
    <w:rsid w:val="008E2B3F"/>
    <w:rsid w:val="008E4D2B"/>
    <w:rsid w:val="00906DBD"/>
    <w:rsid w:val="00927E0D"/>
    <w:rsid w:val="009316D4"/>
    <w:rsid w:val="00937ECD"/>
    <w:rsid w:val="009421D7"/>
    <w:rsid w:val="00956CAA"/>
    <w:rsid w:val="009814FB"/>
    <w:rsid w:val="009828ED"/>
    <w:rsid w:val="00993972"/>
    <w:rsid w:val="00996403"/>
    <w:rsid w:val="009A0CF1"/>
    <w:rsid w:val="009C6872"/>
    <w:rsid w:val="009D6BC5"/>
    <w:rsid w:val="009E1A88"/>
    <w:rsid w:val="009E4D67"/>
    <w:rsid w:val="00A13218"/>
    <w:rsid w:val="00A4798A"/>
    <w:rsid w:val="00A50012"/>
    <w:rsid w:val="00A6440C"/>
    <w:rsid w:val="00A703F1"/>
    <w:rsid w:val="00A86290"/>
    <w:rsid w:val="00A91122"/>
    <w:rsid w:val="00A94D21"/>
    <w:rsid w:val="00A96844"/>
    <w:rsid w:val="00A96884"/>
    <w:rsid w:val="00AB1502"/>
    <w:rsid w:val="00AB6350"/>
    <w:rsid w:val="00AE4E5D"/>
    <w:rsid w:val="00AF11A1"/>
    <w:rsid w:val="00AF2EEA"/>
    <w:rsid w:val="00B06398"/>
    <w:rsid w:val="00B36E85"/>
    <w:rsid w:val="00B54FA8"/>
    <w:rsid w:val="00B76CA3"/>
    <w:rsid w:val="00B807F5"/>
    <w:rsid w:val="00B822F6"/>
    <w:rsid w:val="00BA07E7"/>
    <w:rsid w:val="00BA09E3"/>
    <w:rsid w:val="00BB6B85"/>
    <w:rsid w:val="00BC3507"/>
    <w:rsid w:val="00BC6FE9"/>
    <w:rsid w:val="00BC7B42"/>
    <w:rsid w:val="00BE47BA"/>
    <w:rsid w:val="00BF75D7"/>
    <w:rsid w:val="00C07283"/>
    <w:rsid w:val="00C13BF9"/>
    <w:rsid w:val="00C3334E"/>
    <w:rsid w:val="00C74D8D"/>
    <w:rsid w:val="00C76C7C"/>
    <w:rsid w:val="00C86031"/>
    <w:rsid w:val="00CB1AA7"/>
    <w:rsid w:val="00CC3F61"/>
    <w:rsid w:val="00CD0144"/>
    <w:rsid w:val="00CD23A9"/>
    <w:rsid w:val="00CD67CA"/>
    <w:rsid w:val="00D03AE8"/>
    <w:rsid w:val="00D434CA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51813"/>
    <w:rsid w:val="00E519BF"/>
    <w:rsid w:val="00E703A4"/>
    <w:rsid w:val="00E7471F"/>
    <w:rsid w:val="00E82E46"/>
    <w:rsid w:val="00E95A65"/>
    <w:rsid w:val="00EB0C5A"/>
    <w:rsid w:val="00EC395C"/>
    <w:rsid w:val="00ED1AD7"/>
    <w:rsid w:val="00EF486B"/>
    <w:rsid w:val="00EF72F8"/>
    <w:rsid w:val="00F10B6A"/>
    <w:rsid w:val="00F15B3B"/>
    <w:rsid w:val="00F352BD"/>
    <w:rsid w:val="00F45F75"/>
    <w:rsid w:val="00F577CD"/>
    <w:rsid w:val="00FA49F0"/>
    <w:rsid w:val="00FA7617"/>
    <w:rsid w:val="00FB6237"/>
    <w:rsid w:val="00FD5EA6"/>
    <w:rsid w:val="00FF2A7B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0EAF"/>
  <w15:docId w15:val="{608ACF97-DCE4-4077-9474-58CB3AB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EB38-3523-4169-930F-7F17B63B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2024-05-06T09:56:00Z</dcterms:created>
  <dcterms:modified xsi:type="dcterms:W3CDTF">2024-05-06T09:56:00Z</dcterms:modified>
</cp:coreProperties>
</file>